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368" w:lineRule="auto"/>
        <w:ind w:right="-324" w:firstLine="141"/>
        <w:jc w:val="both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rtl w:val="0"/>
        </w:rPr>
        <w:t xml:space="preserve">Перелік документів, що надаються Сюрвеєром для акредитації: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line="368" w:lineRule="auto"/>
        <w:ind w:right="-324" w:firstLine="141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Лист-анкета щодо розгляду питання про акредитацію. </w:t>
      </w:r>
    </w:p>
    <w:p w:rsidR="00000000" w:rsidDel="00000000" w:rsidP="00000000" w:rsidRDefault="00000000" w:rsidRPr="00000000" w14:paraId="00000003">
      <w:pPr>
        <w:widowControl w:val="0"/>
        <w:spacing w:before="35" w:line="252.00000000000003" w:lineRule="auto"/>
        <w:ind w:right="-324" w:firstLine="141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Довідка з Єдиного державного реєстру юридичних осіб та фізичних осіб-підприємців (за всіма критеріями запиту). </w:t>
      </w:r>
    </w:p>
    <w:p w:rsidR="00000000" w:rsidDel="00000000" w:rsidP="00000000" w:rsidRDefault="00000000" w:rsidRPr="00000000" w14:paraId="00000004">
      <w:pPr>
        <w:widowControl w:val="0"/>
        <w:spacing w:before="131" w:line="252.00000000000003" w:lineRule="auto"/>
        <w:ind w:right="-324" w:firstLine="141"/>
        <w:jc w:val="both"/>
        <w:rPr>
          <w:rFonts w:ascii="Times" w:cs="Times" w:eastAsia="Times" w:hAnsi="Times"/>
          <w:color w:val="0000ff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Лист від Сюрвеєра про останні зміни в керівному складі Сюрвеєра (підписаний керівником Сюрвеєра).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before="128" w:line="254" w:lineRule="auto"/>
        <w:ind w:right="-324" w:firstLine="141"/>
        <w:jc w:val="both"/>
        <w:rPr>
          <w:rFonts w:ascii="Times" w:cs="Times" w:eastAsia="Times" w:hAnsi="Times"/>
          <w:sz w:val="24"/>
          <w:szCs w:val="24"/>
          <w:shd w:fill="f4cccc" w:val="clear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Лист-підтвердження Сюрвеєра про відсутність будь-яких змін в установчих документах, сертифікатах, які надаються банку для вирішення питання щодо акредитації.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before="128" w:line="255" w:lineRule="auto"/>
        <w:ind w:right="-324" w:firstLine="141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Накази про прийняття на роботу експертів / трудові контракти з експертами, які працюють у сюрвеєрній компанії (копії). </w:t>
      </w:r>
    </w:p>
    <w:p w:rsidR="00000000" w:rsidDel="00000000" w:rsidP="00000000" w:rsidRDefault="00000000" w:rsidRPr="00000000" w14:paraId="00000007">
      <w:pPr>
        <w:widowControl w:val="0"/>
        <w:spacing w:before="128" w:line="255" w:lineRule="auto"/>
        <w:ind w:right="-324" w:firstLine="141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6. Копії кваліфікаційних документів експертів (в т.ч. сертифікати технагляду).</w:t>
      </w:r>
    </w:p>
    <w:p w:rsidR="00000000" w:rsidDel="00000000" w:rsidP="00000000" w:rsidRDefault="00000000" w:rsidRPr="00000000" w14:paraId="00000008">
      <w:pPr>
        <w:widowControl w:val="0"/>
        <w:spacing w:before="128" w:line="255" w:lineRule="auto"/>
        <w:ind w:right="-324" w:firstLine="141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7. Копії паспортів та довідок про присвоєння ідентифікаційних податкових номерів експертів, які працюють в складі сюрвеєра. </w:t>
      </w:r>
    </w:p>
    <w:p w:rsidR="00000000" w:rsidDel="00000000" w:rsidP="00000000" w:rsidRDefault="00000000" w:rsidRPr="00000000" w14:paraId="00000009">
      <w:pPr>
        <w:widowControl w:val="0"/>
        <w:spacing w:before="128" w:line="255" w:lineRule="auto"/>
        <w:ind w:right="-324" w:firstLine="141"/>
        <w:jc w:val="both"/>
        <w:rPr>
          <w:rFonts w:ascii="Times" w:cs="Times" w:eastAsia="Times" w:hAnsi="Times"/>
          <w:color w:val="38761d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8. Примірні форми / приклади Експертних звітів сюрвеєрної компанії (вступний, періодичний [місячний/квартальний], траншевий, фінальний). Назви експертних звітів можуть відрізнятись від зазначених в даному пункті.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spacing w:before="128" w:line="255" w:lineRule="auto"/>
        <w:ind w:right="-324" w:firstLine="141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9. Документи, що підтверджують досвід співпраці з іншими банками, державними установами/підприємствами, корпоративними клієнтами. Досвід співпраці підтверджується рекомендаційними листами, інформацією з відкритих джерел (в тому числі сайти банків), скан-копіями документів (наприклад, договори, які дають змогу встановити факт надання послуг). Надані підтверджуючі документи повинні бути не старші, ніж 24 місяці.</w:t>
      </w:r>
    </w:p>
    <w:p w:rsidR="00000000" w:rsidDel="00000000" w:rsidP="00000000" w:rsidRDefault="00000000" w:rsidRPr="00000000" w14:paraId="0000000B">
      <w:pPr>
        <w:widowControl w:val="0"/>
        <w:spacing w:before="128" w:line="255" w:lineRule="auto"/>
        <w:ind w:right="-324" w:firstLine="141"/>
        <w:jc w:val="both"/>
        <w:rPr>
          <w:rFonts w:ascii="Times" w:cs="Times" w:eastAsia="Times" w:hAnsi="Times"/>
          <w:sz w:val="24"/>
          <w:szCs w:val="24"/>
          <w:highlight w:val="green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10. Опитувальник щодо системи внутрішнього контролю та системи управління операційними ризиками (за формою згідно Додатку).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spacing w:before="131" w:line="240" w:lineRule="auto"/>
        <w:ind w:right="-324" w:firstLine="141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Можуть бути запитані додатково:</w:t>
      </w:r>
    </w:p>
    <w:p w:rsidR="00000000" w:rsidDel="00000000" w:rsidP="00000000" w:rsidRDefault="00000000" w:rsidRPr="00000000" w14:paraId="0000000D">
      <w:pPr>
        <w:widowControl w:val="0"/>
        <w:spacing w:before="127" w:line="252.00000000000003" w:lineRule="auto"/>
        <w:ind w:right="-324" w:firstLine="141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11. Документи щодо страхування професійної відповідальності.</w:t>
      </w:r>
    </w:p>
    <w:p w:rsidR="00000000" w:rsidDel="00000000" w:rsidP="00000000" w:rsidRDefault="00000000" w:rsidRPr="00000000" w14:paraId="0000000E">
      <w:pPr>
        <w:widowControl w:val="0"/>
        <w:spacing w:before="141" w:line="240" w:lineRule="auto"/>
        <w:ind w:right="-324" w:firstLine="141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12. Інші документи на вимогу Банку. </w:t>
      </w:r>
    </w:p>
    <w:p w:rsidR="00000000" w:rsidDel="00000000" w:rsidP="00000000" w:rsidRDefault="00000000" w:rsidRPr="00000000" w14:paraId="0000000F">
      <w:pPr>
        <w:widowControl w:val="0"/>
        <w:spacing w:before="141" w:line="240" w:lineRule="auto"/>
        <w:ind w:right="-324" w:firstLine="141"/>
        <w:jc w:val="both"/>
        <w:rPr>
          <w:rFonts w:ascii="Times" w:cs="Times" w:eastAsia="Times" w:hAnsi="Times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firstLine="141.73228346456688"/>
        <w:jc w:val="both"/>
        <w:rPr>
          <w:rFonts w:ascii="Times" w:cs="Times" w:eastAsia="Times" w:hAnsi="Times"/>
          <w:i w:val="1"/>
          <w:i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sz w:val="24"/>
          <w:szCs w:val="24"/>
          <w:rtl w:val="0"/>
        </w:rPr>
        <w:t xml:space="preserve">Подача Сюрвеєром неправдивих відомостей, неповного або неналежним чином оформленого пакету документів, є підставою для відмови у акредитації такого Сюрвеєра у Банку.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-704.5275590551165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right="-704.5275590551165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right="-704.5275590551165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right="-704.5275590551165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right="-704.5275590551165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right="-704.5275590551165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right="-704.5275590551165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right="-704.5275590551165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right="-704.5275590551165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spacing w:line="240" w:lineRule="auto"/>
        <w:jc w:val="right"/>
        <w:rPr>
          <w:rFonts w:ascii="Times" w:cs="Times" w:eastAsia="Times" w:hAnsi="Times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Додаток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40" w:lineRule="auto"/>
        <w:ind w:right="-324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0"/>
        <w:spacing w:before="51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Опитувальник щодо системи внутрішнього контролю та системи управління операційними ризиками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tbl>
      <w:tblPr>
        <w:tblStyle w:val="Table1"/>
        <w:tblW w:w="9810.0" w:type="dxa"/>
        <w:jc w:val="left"/>
        <w:tblInd w:w="-22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900"/>
        <w:gridCol w:w="1395"/>
        <w:gridCol w:w="1515"/>
        <w:tblGridChange w:id="0">
          <w:tblGrid>
            <w:gridCol w:w="6900"/>
            <w:gridCol w:w="1395"/>
            <w:gridCol w:w="151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Питання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Відповідь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rtl w:val="0"/>
              </w:rPr>
              <w:t xml:space="preserve">Коментарі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Чи наявна ефективна система управління операційним ризиком та/або внутрішнього контролю? Які заходи вживаються для забезпечення її/їх ефективності? (Елементи СВК та Управління ризиками:</w:t>
            </w:r>
          </w:p>
          <w:p w:rsidR="00000000" w:rsidDel="00000000" w:rsidP="00000000" w:rsidRDefault="00000000" w:rsidRPr="00000000" w14:paraId="00000021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1. Наявність ВНД з СВК та Управління Ризиками</w:t>
            </w:r>
          </w:p>
          <w:p w:rsidR="00000000" w:rsidDel="00000000" w:rsidP="00000000" w:rsidRDefault="00000000" w:rsidRPr="00000000" w14:paraId="00000022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2. Наявність підрозділу управління ризиками</w:t>
            </w:r>
          </w:p>
          <w:p w:rsidR="00000000" w:rsidDel="00000000" w:rsidP="00000000" w:rsidRDefault="00000000" w:rsidRPr="00000000" w14:paraId="00000023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3. Наявність процесу управління інцидентами (ідентифікація, реєстрація, усунення, запобіжні заходи)</w:t>
            </w:r>
          </w:p>
          <w:p w:rsidR="00000000" w:rsidDel="00000000" w:rsidP="00000000" w:rsidRDefault="00000000" w:rsidRPr="00000000" w14:paraId="00000024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4. Процес оцінки ризиків)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Чи наявна ефективна система запобіганню внутрішньому шахрайству? Які заходи вживаються для забезпечення її ефективності?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Як компанія забезпечує ефективну протидію зовнішньому шахрайству при наданні послуг Банку? Які заходи вживаються для забезпечення її ефективності?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Чи наявна система фіксації та аналізу інцидентів, що пов'язані з наданням послуг? Які заходи вживаються для забезпечення її ефективності? Як компанія повідомлятиме Банк про інциденти, що пов'язані з наданням послуг Банку?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Чи були у 3-ї сторони в минулому інциденти, які призвели до негативних наслідків для вашого бізнесу та/або клієнтів та/або мали розголос в ЗМІ? Якщо так, будь ласка, надайте пояснення цих інцидентів та/або посилання на них</w:t>
            </w:r>
          </w:p>
          <w:p w:rsidR="00000000" w:rsidDel="00000000" w:rsidP="00000000" w:rsidRDefault="00000000" w:rsidRPr="00000000" w14:paraId="00000031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Чи були у вас у минулому інциденти, які могли поставити під загрозу безпеку ваших клієнтів або вашого бізнесу? Якщо так, будь ласка, надайте пояснення цих інцидентів та/або посилання на них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Чи наявна ефективна система забезпечення неперервності діяльності (BCP) та/або Політика BCP? Які заходи вживаються для забезпечення її ефективності?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Чи існує план безперервності бізнесу (BCP) для процесів, що надаються Банку третьою стороною?</w:t>
            </w:r>
          </w:p>
          <w:p w:rsidR="00000000" w:rsidDel="00000000" w:rsidP="00000000" w:rsidRDefault="00000000" w:rsidRPr="00000000" w14:paraId="00000039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Хто відповідає за розробку та впровадження BCP?</w:t>
            </w:r>
          </w:p>
          <w:p w:rsidR="00000000" w:rsidDel="00000000" w:rsidP="00000000" w:rsidRDefault="00000000" w:rsidRPr="00000000" w14:paraId="0000003A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Як часто переглядається та оновлюється плани BCP?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Чи існує план реагування на надзвичайні (crisis management) ситуації для процесів, що надаються третьою стороною?</w:t>
            </w:r>
          </w:p>
          <w:p w:rsidR="00000000" w:rsidDel="00000000" w:rsidP="00000000" w:rsidRDefault="00000000" w:rsidRPr="00000000" w14:paraId="0000003E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Хто відповідає за розробку та впровадження плану реагування на надзвичайні ситуації?</w:t>
            </w:r>
          </w:p>
          <w:p w:rsidR="00000000" w:rsidDel="00000000" w:rsidP="00000000" w:rsidRDefault="00000000" w:rsidRPr="00000000" w14:paraId="0000003F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Як часто план реагування на надзвичайні ситуації переглядається та оновлюється?</w:t>
            </w:r>
          </w:p>
          <w:p w:rsidR="00000000" w:rsidDel="00000000" w:rsidP="00000000" w:rsidRDefault="00000000" w:rsidRPr="00000000" w14:paraId="00000040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Які заходи вживаються для забезпечення їх ефективності?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Чи має компанія достатні резервні ресурси для забезпечення неперервності діяльності? Які заходи вживаються для забезпечення цього?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Яким чином забезпечується ефективний контроль якості послуг, що надаються? Які заходи вживаються для забезпечення цього?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Чи проводився в компанії незалежний аудит / ІТ-аудит за останні 12 місяців? Які результати аудиту?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Чи має компанія достатню кількість кваліфікованих співробітників для виконання послуг для Банку?</w:t>
            </w:r>
          </w:p>
          <w:p w:rsidR="00000000" w:rsidDel="00000000" w:rsidP="00000000" w:rsidRDefault="00000000" w:rsidRPr="00000000" w14:paraId="0000004D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Чи існують альтернативні робочі місця для персоналу, який виконує процеси, що надаються Банку? Які заходи вживаються для забезпечення цього?</w:t>
            </w:r>
          </w:p>
          <w:p w:rsidR="00000000" w:rsidDel="00000000" w:rsidP="00000000" w:rsidRDefault="00000000" w:rsidRPr="00000000" w14:paraId="0000004E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Чи планує компанія залучати зовнішніх постачальників послуг? Які фактори враховуються при прийнятті цього рішення?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Чи були ідентифіковані ризики для процесів, що надаються третьою стороною? Якщо так, то які?</w:t>
            </w:r>
          </w:p>
          <w:p w:rsidR="00000000" w:rsidDel="00000000" w:rsidP="00000000" w:rsidRDefault="00000000" w:rsidRPr="00000000" w14:paraId="00000052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Які заходи вживаються для управління цими ризиками?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Як часто відбуваються/можуть відбуватися значні зміни у діяльності 3ї сторони щодо послуг, які надаються Банку? Як Банк дізнаватиметься про них? Як буде здійснюватися комунікація між Банком та третьою стороною в разі проведення значної зміни?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8">
      <w:pPr>
        <w:widowControl w:val="0"/>
        <w:spacing w:line="240" w:lineRule="auto"/>
        <w:ind w:left="123" w:firstLine="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ind w:right="-704.5275590551165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ind w:right="-704.5275590551165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720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4185"/>
        <w:gridCol w:w="5535"/>
        <w:tblGridChange w:id="0">
          <w:tblGrid>
            <w:gridCol w:w="4185"/>
            <w:gridCol w:w="553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ind w:left="123" w:firstLine="0"/>
              <w:rPr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“__” _________ 20__р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ind w:left="119" w:right="1049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Посада ________________ ПІБ мп підпис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D">
      <w:pPr>
        <w:ind w:right="-704.5275590551165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399.133858267717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rPr>
      <w:color w:val="000000"/>
    </w:rPr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