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D9" w:rsidRPr="00CC3802" w:rsidRDefault="00DC72B6" w:rsidP="008B3ED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Ком</w:t>
      </w:r>
      <w:r w:rsidR="008B3ED9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ентар:</w:t>
      </w:r>
    </w:p>
    <w:p w:rsidR="00DC72B6" w:rsidRPr="00CC3802" w:rsidRDefault="00DC72B6" w:rsidP="00DC72B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Законодавством України, а також законодавством інших країн приділяється велика увага питанню захисту персональних даних, під якими розуміються відомості чи сукупність відомостей про фізичну особу, яка ідентифікована або може бути конкретно ідентифікована.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cr/>
        <w:t>Законом України "Про захист персональних даних" встановлено механізми протидії неправомірному збору, накопиченн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ю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, поширенн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ю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персональної інформації. У той же час, 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низці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випадків, повноцінн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а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спів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праця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між сторонами в рамках будь-якого договору викликає необхідність обміну наявними у них персональними даним</w:t>
      </w:r>
      <w:r w:rsidR="00B11FEF"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и</w:t>
      </w: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, що в свою чергу вимагає регламентації такого обміну з метою недопущення порушень вимог чинного законодавства.</w:t>
      </w:r>
    </w:p>
    <w:p w:rsidR="008B3ED9" w:rsidRPr="00CC3802" w:rsidRDefault="00DC72B6" w:rsidP="00DC72B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Нижче пропонується шаблон договору, присвячений процедурі обміну персональними даними між їх власниками.</w:t>
      </w:r>
    </w:p>
    <w:p w:rsidR="008B3ED9" w:rsidRPr="00CC3802" w:rsidRDefault="008B3ED9" w:rsidP="008B3ED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8B3ED9" w:rsidRPr="00CC3802" w:rsidRDefault="00B11FEF" w:rsidP="00B11FEF">
      <w:pPr>
        <w:ind w:firstLine="39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УГОДА ПРО ПЕРЕДАЧУ ПЕРСОНАЛЬНИХ ДАНИХ</w:t>
      </w:r>
    </w:p>
    <w:p w:rsidR="008B3ED9" w:rsidRPr="00CC3802" w:rsidRDefault="00B11FEF" w:rsidP="008B3E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>. _________________</w:t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«___» _____________ 20___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B3ED9" w:rsidRPr="00CC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3ED9" w:rsidRPr="00CC3802" w:rsidRDefault="008B3ED9" w:rsidP="008B3ED9">
      <w:pPr>
        <w:ind w:firstLine="3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EF" w:rsidRPr="00CC3802" w:rsidRDefault="00B11FEF" w:rsidP="00B11F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_____________________________, в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особі _______________________________, що діє на підставі ____________________, з одного боку і</w:t>
      </w:r>
    </w:p>
    <w:p w:rsidR="008B3ED9" w:rsidRPr="00CC3802" w:rsidRDefault="00B11FEF" w:rsidP="00B11F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____________________________________,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особі _________________________________, що діє на підставі __________________, з іншого боку, надалі спільно іменуються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та окремо 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Сторона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, уклали цю угоду про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не:</w:t>
      </w:r>
    </w:p>
    <w:p w:rsidR="008B3ED9" w:rsidRPr="00CC3802" w:rsidRDefault="008B3ED9" w:rsidP="008B3E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Терм</w:t>
      </w:r>
      <w:r w:rsidR="00B11FEF"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="00B11FEF"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B11FEF"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використовуються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11FEF"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текст</w:t>
      </w:r>
      <w:r w:rsidR="00B11FEF"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11FEF"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Угоди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3ED9" w:rsidRPr="00CC3802" w:rsidRDefault="008B3ED9" w:rsidP="008B3E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Автоматизован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персональних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за допомогою засобів обчислювальної техніки.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Оператор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юридична особа,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самостійно або спільно з іншими особами організ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овує та/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або здійснює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конфіденційної інформації в тому числі персональних даних, визначає цілі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даних, склад персональних даних, що підлягають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працюванню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дії (операції), що здійснюються з персональними даними.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Блокування персональних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тимчасове припинення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(за винятком випадків, якщо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необхідн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для уточнення персональних даних)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система персональних даних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сукупність персональних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, що 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містяться в базах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 їх 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інформаційних технологій і технічних засобів.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Конфіденційність персональних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0301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обов'язкова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для дотримання оператором або інш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ою особою, яка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отрима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доступ до персональних даних</w:t>
      </w:r>
      <w:r w:rsidR="00503010" w:rsidRPr="00CC3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вимога не допускати їх поширення без згоди суб'єкта персональних даних або наявності іншої законної підстави.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Знеособлювання персональних даних</w:t>
      </w:r>
      <w:r w:rsidR="00503010"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дії,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яких неможливо визначити без використання додаткової інформації приналежність персональних даних конкретному суб'єкт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1D69E2" w:rsidRPr="00CC3802">
        <w:rPr>
          <w:rFonts w:ascii="Times New Roman" w:hAnsi="Times New Roman" w:cs="Times New Roman"/>
          <w:b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персональних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будь-яка дія (операція) або сукупність дій (операцій), що здійснюються з використанням засобів автоматизації або без використання таких засобів з персональними даними, включаючи збір, запис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систематизацію, накопичення, зберігання уточнення (оновлення, зміна), витяг, використання, передачу (поширення,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представлення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доступ), знеособлення, блокування, видалення, знищення персональних даних.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Загальнодоступні персональні дані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дані, доступ до яких надано за згодою суб'єкта персональних даних необмеженому колу осіб або на які відповідно до законодавства кожної з держав Сторін не поширюється вимога про дотримання конфіденційності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Оператор інформаційної системи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фізична або юридична особа, яка здійснює діяльність з експлуатації інформаційної системи,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інформації, що міститься в її базах даних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Персональні дані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будь-яка інформація, що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належить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прямо або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опосередковано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визначен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ого або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такого, що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або визначається на підставі такої інформації фізичній особі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(суб'єкту персональних даних), 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його прізвище, ім'я, по батькові, рік, місяць, дата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місце народження, адреса, сімейн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соціальн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майнов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стан, освіта, професія, доходи, інша інформація.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Надання персональних даних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прямовані на розкриття персональних даних певній особі або певного кола осіб.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Поширення персональних даних</w:t>
      </w:r>
      <w:r w:rsidR="001D69E2"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дії спрямовані на розкриття персональних даних невизначеному колу осіб (передача персональних даних) або на ознайомлення з персональними даними необмеженого кола осіб, 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о</w:t>
      </w:r>
      <w:r w:rsidR="001D69E2" w:rsidRPr="00CC3802">
        <w:rPr>
          <w:rFonts w:ascii="Times New Roman" w:hAnsi="Times New Roman" w:cs="Times New Roman"/>
          <w:sz w:val="24"/>
          <w:szCs w:val="24"/>
          <w:lang w:val="uk-UA"/>
        </w:rPr>
        <w:t>прилюднення персональних даних 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засобах масової інформації, розміщення в інформаційно-телекомунікаційних мережах або надання доступу до персональних даних будь-яким способом.</w:t>
      </w:r>
    </w:p>
    <w:p w:rsidR="00B11FEF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Транскордонна передача персональних даних</w:t>
      </w:r>
      <w:r w:rsidR="002D3AC3"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це передача ПД оператором через державний кордон РФ органу влади іноземної держави, фізичній або юридичній особі іноземної держави.</w:t>
      </w:r>
    </w:p>
    <w:p w:rsidR="008B3ED9" w:rsidRPr="00CC3802" w:rsidRDefault="00B11FEF" w:rsidP="00B11FEF">
      <w:p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Знищення персональних даних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дії, 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яких неможливо відновити зміст персональних даних в інформаційній системі персональних даних 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та/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яких знищуються матеріальні носії персональних даних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3ED9" w:rsidRPr="00CC3802" w:rsidRDefault="008B3ED9" w:rsidP="008B3ED9">
      <w:pPr>
        <w:suppressAutoHyphens w:val="0"/>
        <w:ind w:firstLine="39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3ED9" w:rsidRPr="00CC3802" w:rsidRDefault="008B3ED9" w:rsidP="008B3ED9">
      <w:pPr>
        <w:ind w:firstLine="8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E01A85" w:rsidRPr="00CC3802">
        <w:rPr>
          <w:rFonts w:ascii="Times New Roman" w:hAnsi="Times New Roman" w:cs="Times New Roman"/>
          <w:b/>
          <w:sz w:val="24"/>
          <w:szCs w:val="24"/>
          <w:lang w:val="uk-UA"/>
        </w:rPr>
        <w:t>Угоди</w:t>
      </w:r>
    </w:p>
    <w:p w:rsidR="008B3ED9" w:rsidRPr="00CC3802" w:rsidRDefault="008B3ED9" w:rsidP="008B3E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У рамках цієї Угоди Сторони домовилися про надання один одному взаємних гарантій, що підтверджують нерозголошення, а також дотримання встановленого цією угодою порядку передачі о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держуючою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тороною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, що одержує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від розкрива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ючої Сторони 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комерційної 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та будь-якої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інш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конфіденційної інформації, 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персональних даних, як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Сторони будуть обмінюватися в рамках спільно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спів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E01A85" w:rsidRPr="00CC3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3ED9" w:rsidRPr="00CC3802" w:rsidRDefault="008B3ED9" w:rsidP="008B3ED9">
      <w:pPr>
        <w:ind w:firstLine="8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3ED9" w:rsidRPr="00CC3802" w:rsidRDefault="008B3ED9" w:rsidP="008B3ED9">
      <w:pPr>
        <w:ind w:firstLine="8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EC7BF0" w:rsidRPr="00CC3802">
        <w:rPr>
          <w:rFonts w:ascii="Times New Roman" w:hAnsi="Times New Roman" w:cs="Times New Roman"/>
          <w:b/>
          <w:sz w:val="24"/>
          <w:szCs w:val="24"/>
          <w:lang w:val="uk-UA"/>
        </w:rPr>
        <w:t>Зобов'язання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</w:t>
      </w:r>
      <w:r w:rsidR="00EC7BF0" w:rsidRPr="00CC380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2.1. Протягом терміну співпраці </w:t>
      </w:r>
      <w:r w:rsidR="00BE4EF4"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п'яти років після його закінчення, кожна Сторона зобов'язується не розкривати без попереднього письмової згоди будь-яку конфіденційну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інформацію, отриману від розкриває Сторони. Коли будь-яка інформація розкривається третій особі з такою згодою, Сторона, яка розкриває таку інформацію третій особі, повинна гарантувати, що третя особа з</w:t>
      </w:r>
      <w:r w:rsidR="00BE4EF4" w:rsidRPr="00CC3802">
        <w:rPr>
          <w:rFonts w:ascii="Times New Roman" w:hAnsi="Times New Roman" w:cs="Times New Roman"/>
          <w:sz w:val="24"/>
          <w:szCs w:val="24"/>
          <w:lang w:val="uk-UA"/>
        </w:rPr>
        <w:t>в’язана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положеннями цієї Угоди.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026592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Одержуюча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Сторона, яка отримала будь-яку конфіденційну інформацію, не повинна розкривати її, і зобов'язується о</w:t>
      </w:r>
      <w:r w:rsidR="00026592" w:rsidRPr="00CC3802">
        <w:rPr>
          <w:rFonts w:ascii="Times New Roman" w:hAnsi="Times New Roman" w:cs="Times New Roman"/>
          <w:sz w:val="24"/>
          <w:szCs w:val="24"/>
          <w:lang w:val="uk-UA"/>
        </w:rPr>
        <w:t>працьовувати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таку інформацію з тим ступенем дбайливості </w:t>
      </w:r>
      <w:r w:rsidR="00026592"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обачності, яка застосовується щодо її ділових і фінансових даних того ж рівня важливості.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2.3. Здійснювати о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передачу, персональних даних за згодою суб'єкта персональних даних або його Представника, 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будь-як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формі, що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дозволяє підтвердити факт його отримання, якщо інше не передбачено законом.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2.4. Кожна Сторона зобов'язана п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>ід час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676C9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</w:t>
      </w:r>
      <w:r w:rsidR="00EB45B0" w:rsidRPr="00CC3802">
        <w:rPr>
          <w:rFonts w:ascii="Times New Roman" w:hAnsi="Times New Roman" w:cs="Times New Roman"/>
          <w:sz w:val="24"/>
          <w:szCs w:val="24"/>
          <w:lang w:val="uk-UA"/>
        </w:rPr>
        <w:t>ухвалювати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організаційні та технічні заходи для захисту персональних даних від несанкціонованого або випадкового доступу до них, знищення, перекручення, блокування, копіювання, поширення персональних даних, а також від інших неправомірних дій.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EB45B0" w:rsidRPr="00CC380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е отримувати 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не 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працьовувати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про расов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у, національну належні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політичн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погляд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релігійн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або філософськ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переконання, стан здоров'я, інтимного життя, за винятком випадків, передбачених законом.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2.6. Дозволяти доступ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до конфіденційної інформації, 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персональних даних суб'єктів тільки спеціально уповноваженим особам, при цьому зазначені особи повинні мати право отримувати тільки ту інформацію/персональні дані, які необхідні для виконання конкретних функцій з урахуванням розумності 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в цілях, здійснення і виконання покладених законодавством на Сторону, як на оператора функцій, повноважень 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обов'язків.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транскордонної передачі персональних даних на територію іноземних держав Сторони зобов'язані переконатися в тому, що іноземною державою, на територі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яко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передача персональних даних, забезпечується адекватний захист прав суб'єктів персональних даних, до початку здійснення транскордонної передачі даних.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2.8. У разі відкликання суб'єктом персональних даних згоди на 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його персональних даних Оператор зобов'язаний припинити їх 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або забезпечити припинення тако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(якщо о</w:t>
      </w:r>
      <w:r w:rsidR="00EB54B6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здійснюється іншою особою, яка діє за дорученням оператора) і в разі, якщо збереження персональних даних більше не 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потрібне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для цілей о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даних, знищити персональні дані або забезпечити їх знищення (якщо о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здійснюється іншою особою, яка діє за дорученням оператора) 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, що не перевищує тридцяти днів з дати надходження зазначеного відкликання, якщо інше не передбачено договором, стороною якого, вигодонабувачем або поручителем 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м є суб'єкт персональних даних, іншою угодою між оператором 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суб'єктом персональних даних або якщо оператор не має права здійснювати о</w:t>
      </w:r>
      <w:r w:rsidR="006317EC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без згоди суб'єкта персональних даних на підставах, передбачених чинним законодавством.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2.9. У разі виявлення недостовірних персональних даних або неправомірних дій з ними оператора </w:t>
      </w:r>
      <w:r w:rsidR="007E2537" w:rsidRPr="00CC3802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зверненн</w:t>
      </w:r>
      <w:r w:rsidR="007E2537" w:rsidRPr="00CC380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або за запитом суб'єкта персональних даних або його законного представника або уповноваженого органу з захисту прав суб'єктів персональних даних оператор зобов'язаний здійснити блокування персональних даних, що відносяться до відповідного суб'єкту персональних даних, з моменту такого звернення або отримання такого запиту на період перевірки.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2.10. У разі досягнення мети о</w:t>
      </w:r>
      <w:r w:rsidR="007E2537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оператор зобов'язаний негайно припинити о</w:t>
      </w:r>
      <w:r w:rsidR="007E2537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і знищити відповідні персональні дані в строк, що не перевищує трьох робочих днів з дати досягнення мети о</w:t>
      </w:r>
      <w:r w:rsidR="007E2537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даних,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якщо інше не передбачено федеральними законами, і повідомити про це суб'єкта персональних даних або його законного представника, а в разі, якщо звернення або запит було направлено уповноваженим органом із захисту прав суб'єктів персональних даних, також </w:t>
      </w:r>
      <w:r w:rsidR="007E2537" w:rsidRPr="00CC3802">
        <w:rPr>
          <w:rFonts w:ascii="Times New Roman" w:hAnsi="Times New Roman" w:cs="Times New Roman"/>
          <w:sz w:val="24"/>
          <w:szCs w:val="24"/>
          <w:lang w:val="uk-UA"/>
        </w:rPr>
        <w:t>зазначени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й орган.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2.11. У разі реорганізації або ліквідації однієї із Сторін до терміну виконання Сторонами зобов'язань, передбачених цією Угодою, передбачається 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ий порядок охорони конфіденційної інформації:</w:t>
      </w:r>
    </w:p>
    <w:p w:rsidR="00EC7BF0" w:rsidRPr="00CC3802" w:rsidRDefault="00DA16B4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реорганізації: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одержуючи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Сторона, повідомляє розкрива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ючу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Сторону про майбутню реорганізацію, так само як і розкрива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юча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Сторона повідомляє одержу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ючу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Сторону про майбутню реорганізацію не пізніше 30 днів з дати 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ухваленн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я рішення про реорганізацію;</w:t>
      </w:r>
    </w:p>
    <w:p w:rsidR="00EC7BF0" w:rsidRPr="00CC3802" w:rsidRDefault="00DA16B4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разі якщо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одержуюча 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>Сторона володіє на момент реорганізації Конфіденційною інформацією, вона передає її за згодою розкрива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ючій Стороні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на всіх носіях правонаступник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одержу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ючої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Сторони;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одночасно на правонаступника розкрива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ючої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Сторони або правонаступника одержу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чої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Сторони переходять зобов'язання 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</w:t>
      </w:r>
      <w:r w:rsidR="00DA16B4" w:rsidRPr="00CC380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вимог цієї Угоди про конфіденційність;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BF0" w:rsidRPr="00CC3802" w:rsidRDefault="00DA16B4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разі 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ліквідації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будь-якої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C7BF0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Сторін:</w:t>
      </w:r>
    </w:p>
    <w:p w:rsidR="00EC7BF0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озкрива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юча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Сторона повідомляє одержу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ючій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Сторону про майбутню ліквідацію, так само як і 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одержуюча Сторона, повідомляє розкриваючій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про майбутню ліквідацію не пізніше 30 днів з дати 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ухваленн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я рішення про ліквідацію;</w:t>
      </w:r>
    </w:p>
    <w:p w:rsidR="008B3ED9" w:rsidRPr="00CC3802" w:rsidRDefault="00EC7BF0" w:rsidP="00EC7B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одержуюча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Сторона, протягом 2-х календарних місяців з моменту 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ухваленн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я рішення про ліквідацію зобов'язується повернути конфіденційну інформацію на всіх носіях розкрива</w:t>
      </w:r>
      <w:r w:rsidR="00FD582D" w:rsidRPr="00CC3802">
        <w:rPr>
          <w:rFonts w:ascii="Times New Roman" w:hAnsi="Times New Roman" w:cs="Times New Roman"/>
          <w:sz w:val="24"/>
          <w:szCs w:val="24"/>
          <w:lang w:val="uk-UA"/>
        </w:rPr>
        <w:t>ючій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Стороні.</w:t>
      </w:r>
    </w:p>
    <w:p w:rsidR="008B3ED9" w:rsidRPr="00CC3802" w:rsidRDefault="008B3ED9" w:rsidP="008B3ED9">
      <w:pPr>
        <w:ind w:firstLine="8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3ED9" w:rsidRPr="00CC3802" w:rsidRDefault="008B3ED9" w:rsidP="008B3ED9">
      <w:pPr>
        <w:ind w:firstLine="8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3. Спец</w:t>
      </w:r>
      <w:r w:rsidR="00FD582D" w:rsidRPr="00CC380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альн</w:t>
      </w:r>
      <w:r w:rsidR="00FD582D" w:rsidRPr="00CC380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 w:rsidR="00FD582D" w:rsidRPr="00CC3802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3.1. Інформація, отримана приймаючою Стороною від розкрива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ючої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Сторони в письмовій формі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має відмітку про її конфіденційн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, буде розглядатися як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конфіденційна 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 до неї має бути відповідне. Конфіденційної також є усна інформація, за умови, що письмове повідомлення щодо конфіденційності такої інформації було отримано від іншої Сторони в момент її передачі.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3.2. Незважаючи на будь-які інші положення, інформація, отримана приймаючою Стороною, не розглядається як конфіденційна і відповідно прийма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юча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Сторона не підпадає під зобов'язання про конфіденційність щодо такої інформації, якщо інформація задовольняє одн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их характеристик: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нформація під час її розкриття є публічно відомою;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нформаці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​​Стор</w:t>
      </w:r>
      <w:bookmarkStart w:id="0" w:name="_GoBack"/>
      <w:bookmarkEnd w:id="0"/>
      <w:r w:rsidRPr="00CC3802">
        <w:rPr>
          <w:rFonts w:ascii="Times New Roman" w:hAnsi="Times New Roman" w:cs="Times New Roman"/>
          <w:sz w:val="24"/>
          <w:szCs w:val="24"/>
          <w:lang w:val="uk-UA"/>
        </w:rPr>
        <w:t>оні з письмовою вказівкою на те, що вона не є конфіденційною;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нформація законним шляхом отримана від будь-якої третьої особи без порушення цієї Угоди;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нформація повинна бути розкрита відповідно до відповідн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ого Закону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, судовим або адміністративним розпорядженням або постановою, за умови що Сторона, яка отримала інформацію від іншої Сторони, попередньо письмово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 підтвердженням необхідності в такому розкритті повідомить про це іншу Сторону.</w:t>
      </w:r>
    </w:p>
    <w:p w:rsidR="00FD582D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сі заходи конфіденційності п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ід час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працювання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передачі персональних даних поши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рюються на всі носії інформації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як на паперові, так і на електронні.</w:t>
      </w:r>
    </w:p>
    <w:p w:rsidR="008B3ED9" w:rsidRPr="00CC3802" w:rsidRDefault="00FD582D" w:rsidP="00FD582D">
      <w:pPr>
        <w:ind w:firstLine="857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3.4. Режим конфіденційності персональних даних знімається у випадках знеособлення або включення їх </w:t>
      </w:r>
      <w:r w:rsidR="00EE5771" w:rsidRPr="00CC3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загальнодоступні джерела персональних даних, якщо інше не визначено законом.</w:t>
      </w:r>
      <w:r w:rsidR="008B3ED9" w:rsidRPr="00CC3802">
        <w:rPr>
          <w:rStyle w:val="a3"/>
          <w:rFonts w:ascii="Times New Roman" w:eastAsia="Cambria" w:hAnsi="Times New Roman"/>
          <w:sz w:val="24"/>
          <w:szCs w:val="24"/>
          <w:lang w:val="uk-UA"/>
        </w:rPr>
        <w:t xml:space="preserve">      </w:t>
      </w:r>
    </w:p>
    <w:p w:rsidR="008B3ED9" w:rsidRPr="00CC3802" w:rsidRDefault="008B3ED9" w:rsidP="008B3ED9">
      <w:pPr>
        <w:ind w:firstLine="8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3ED9" w:rsidRPr="00CC3802" w:rsidRDefault="008B3ED9" w:rsidP="008B3ED9">
      <w:pPr>
        <w:ind w:firstLine="857"/>
        <w:jc w:val="center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2866B2" w:rsidRPr="00CC3802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сть Стор</w:t>
      </w:r>
      <w:r w:rsidR="002866B2" w:rsidRPr="00CC380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</w:p>
    <w:p w:rsidR="002866B2" w:rsidRPr="00CC3802" w:rsidRDefault="002866B2" w:rsidP="002866B2">
      <w:pPr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>4.1. Сторони несуть відповідальність за невиконання або неналежне виконання своїх зобов'язань передбачених цією Угодою відповідно до чинного законодавства.</w:t>
      </w:r>
    </w:p>
    <w:p w:rsidR="002866B2" w:rsidRPr="00CC3802" w:rsidRDefault="002866B2" w:rsidP="002866B2">
      <w:pPr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> 4.2.</w:t>
      </w:r>
      <w:r w:rsidR="00C8286C"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Пр</w:t>
      </w:r>
      <w:r w:rsidR="00C8286C" w:rsidRPr="00CC3802">
        <w:rPr>
          <w:rFonts w:ascii="Times New Roman" w:eastAsia="Cambria" w:hAnsi="Times New Roman"/>
          <w:sz w:val="24"/>
          <w:szCs w:val="24"/>
          <w:lang w:val="uk-UA"/>
        </w:rPr>
        <w:t>иймаюча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</w:t>
      </w:r>
      <w:r w:rsidR="00C8286C" w:rsidRPr="00CC3802">
        <w:rPr>
          <w:rFonts w:ascii="Times New Roman" w:eastAsia="Cambria" w:hAnsi="Times New Roman"/>
          <w:sz w:val="24"/>
          <w:szCs w:val="24"/>
          <w:lang w:val="uk-UA"/>
        </w:rPr>
        <w:t>С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торона несе відповідальність за розкриття (включаючи ненавмисне) конфіденційної інформації, отриманої від розкрива</w:t>
      </w:r>
      <w:r w:rsidR="00C8286C" w:rsidRPr="00CC3802">
        <w:rPr>
          <w:rFonts w:ascii="Times New Roman" w:eastAsia="Cambria" w:hAnsi="Times New Roman"/>
          <w:sz w:val="24"/>
          <w:szCs w:val="24"/>
          <w:lang w:val="uk-UA"/>
        </w:rPr>
        <w:t>ючої Сторони, а також у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разі невжиття заходів, які </w:t>
      </w:r>
      <w:r w:rsidR="00C8286C" w:rsidRPr="00CC3802">
        <w:rPr>
          <w:rFonts w:ascii="Times New Roman" w:eastAsia="Cambria" w:hAnsi="Times New Roman"/>
          <w:sz w:val="24"/>
          <w:szCs w:val="24"/>
          <w:lang w:val="uk-UA"/>
        </w:rPr>
        <w:t xml:space="preserve">приймаюча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Сторона могла або повинна була зробити, щоб запобігти або зменшити негативні наслідки такого розкриття інформації в максимально короткий період часу.</w:t>
      </w:r>
    </w:p>
    <w:p w:rsidR="002866B2" w:rsidRPr="00CC3802" w:rsidRDefault="002866B2" w:rsidP="002866B2">
      <w:pPr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 4.3. У разі якщо таке розкриття конфіденційної інформації сталося, Сторона, яка розкрила інформацію, повинна вжити всіх можливих </w:t>
      </w:r>
      <w:r w:rsidR="00C8286C" w:rsidRPr="00CC3802">
        <w:rPr>
          <w:rFonts w:ascii="Times New Roman" w:eastAsia="Cambria" w:hAnsi="Times New Roman"/>
          <w:sz w:val="24"/>
          <w:szCs w:val="24"/>
          <w:lang w:val="uk-UA"/>
        </w:rPr>
        <w:t xml:space="preserve">і необхідних заходів,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щоб усунути наслідки такого розкриття.</w:t>
      </w:r>
    </w:p>
    <w:p w:rsidR="008B3ED9" w:rsidRPr="00CC3802" w:rsidRDefault="002866B2" w:rsidP="00286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> 4.4. Винна в розкритті Сторона повинна нести всі витрати, які є результатом вищезазначених дій і пов'язані з діями, спрямованими на усунення наслідків розкриття інформації.</w:t>
      </w:r>
    </w:p>
    <w:p w:rsidR="008B3ED9" w:rsidRPr="00CC3802" w:rsidRDefault="008B3ED9" w:rsidP="008B3ED9">
      <w:pPr>
        <w:ind w:firstLine="8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802" w:rsidRPr="00CC3802" w:rsidRDefault="00CC3802" w:rsidP="00CC3802">
      <w:pPr>
        <w:ind w:firstLine="8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Застосовне Право. 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регулювання Сп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орів</w:t>
      </w:r>
    </w:p>
    <w:p w:rsidR="00CC3802" w:rsidRPr="00CC3802" w:rsidRDefault="00CC3802" w:rsidP="00CC3802">
      <w:pPr>
        <w:ind w:firstLine="8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 5.1. Угода регулюється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розглядається відповідно до чинного законодавства України.</w:t>
      </w:r>
    </w:p>
    <w:p w:rsidR="00CC3802" w:rsidRPr="00CC3802" w:rsidRDefault="00CC3802" w:rsidP="00CC3802">
      <w:pPr>
        <w:ind w:firstLine="8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> 5.2. У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сі сп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ри, що виникають із або в зв'язку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з цією Угодою, а також з його тлумаченням, підлягають дружньому врегулюванню шляхом переговорів між експертними групами, створеними в рамках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/або між керівництвом Сторін, якщо це необхідно.</w:t>
      </w:r>
    </w:p>
    <w:p w:rsidR="008B3ED9" w:rsidRPr="00CC3802" w:rsidRDefault="00CC3802" w:rsidP="00CC3802">
      <w:pPr>
        <w:ind w:firstLine="8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 5.3. Якщо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жодн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е дружнє врегулювання не буде досягнуто протягом 30 календарних днів від початку цих переговорів, то спір буде розглянут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 судом.</w:t>
      </w:r>
    </w:p>
    <w:p w:rsidR="008B3ED9" w:rsidRPr="00CC3802" w:rsidRDefault="008B3ED9" w:rsidP="008B3ED9">
      <w:pPr>
        <w:ind w:firstLine="857"/>
        <w:jc w:val="center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. С</w:t>
      </w:r>
      <w:r w:rsidR="00CC3802" w:rsidRPr="00CC3802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рок д</w:t>
      </w:r>
      <w:r w:rsidR="00CC3802" w:rsidRPr="00CC3802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3802" w:rsidRPr="00CC3802">
        <w:rPr>
          <w:rFonts w:ascii="Times New Roman" w:hAnsi="Times New Roman" w:cs="Times New Roman"/>
          <w:b/>
          <w:sz w:val="24"/>
          <w:szCs w:val="24"/>
          <w:lang w:val="uk-UA"/>
        </w:rPr>
        <w:t>Угоди</w:t>
      </w:r>
    </w:p>
    <w:p w:rsidR="008B3ED9" w:rsidRPr="00CC3802" w:rsidRDefault="008B3ED9" w:rsidP="008B3ED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 </w:t>
      </w:r>
      <w:r w:rsidRPr="00CC3802">
        <w:rPr>
          <w:rFonts w:ascii="Times New Roman" w:hAnsi="Times New Roman" w:cs="Times New Roman"/>
          <w:sz w:val="24"/>
          <w:szCs w:val="24"/>
          <w:lang w:val="uk-UA"/>
        </w:rPr>
        <w:t xml:space="preserve">6.1.  </w:t>
      </w:r>
      <w:r w:rsidR="00CC3802" w:rsidRPr="00CC3802">
        <w:rPr>
          <w:rFonts w:ascii="Times New Roman" w:hAnsi="Times New Roman" w:cs="Times New Roman"/>
          <w:sz w:val="24"/>
          <w:szCs w:val="24"/>
          <w:lang w:val="uk-UA"/>
        </w:rPr>
        <w:t>Ця Угода набуває чинності в день її підписання обома Сторонами і діє до повного виконання Сторонами своїх зобов'язань, що випливають з цієї Угоди.</w:t>
      </w:r>
    </w:p>
    <w:p w:rsidR="008B3ED9" w:rsidRPr="00CC3802" w:rsidRDefault="008B3ED9" w:rsidP="008B3ED9">
      <w:pPr>
        <w:ind w:firstLine="8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3ED9" w:rsidRPr="00CC3802" w:rsidRDefault="008B3ED9" w:rsidP="008B3ED9">
      <w:pPr>
        <w:ind w:firstLine="857"/>
        <w:jc w:val="center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CC3802" w:rsidRPr="00CC3802">
        <w:rPr>
          <w:rFonts w:ascii="Times New Roman" w:hAnsi="Times New Roman" w:cs="Times New Roman"/>
          <w:b/>
          <w:sz w:val="24"/>
          <w:szCs w:val="24"/>
          <w:lang w:val="uk-UA"/>
        </w:rPr>
        <w:t>Прикінцеві положенн</w:t>
      </w:r>
      <w:r w:rsidRPr="00CC3802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</w:p>
    <w:p w:rsidR="00CC3802" w:rsidRPr="00CC3802" w:rsidRDefault="00CC3802" w:rsidP="00CC3802">
      <w:pPr>
        <w:ind w:firstLine="399"/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7.1.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У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ся інформація, представлена ​​іншій Стороні у зв'язку з цією Угодою, за винятком персональних даних, залишається виключною власністю Сторони Розкриття.</w:t>
      </w:r>
    </w:p>
    <w:p w:rsidR="00CC3802" w:rsidRPr="00CC3802" w:rsidRDefault="00CC3802" w:rsidP="00CC3802">
      <w:pPr>
        <w:ind w:firstLine="399"/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lastRenderedPageBreak/>
        <w:t> 7.2. У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сі зміни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та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доповнення до цієї Угоди набирають чинності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та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розглядаються як невід'ємна частина цієї Угоди тільки в тому випадку, якщо вони зроблені в письмовій формі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й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підписані належним чином уповноваженими представниками Сторін.</w:t>
      </w:r>
    </w:p>
    <w:p w:rsidR="00CC3802" w:rsidRPr="00CC3802" w:rsidRDefault="00CC3802" w:rsidP="00CC3802">
      <w:pPr>
        <w:ind w:firstLine="399"/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> 7.3. Форма та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метод інформаційного обміну в рамках цієї Угоди повинні бути визначені безпосередньо Сторонами, за умови, що всі дії повинні відбуватися чесно, розумно, точно і відповідно до чесної ділової практики.</w:t>
      </w:r>
    </w:p>
    <w:p w:rsidR="00CC3802" w:rsidRPr="00CC3802" w:rsidRDefault="00CC3802" w:rsidP="00CC3802">
      <w:pPr>
        <w:ind w:firstLine="399"/>
        <w:jc w:val="both"/>
        <w:rPr>
          <w:rFonts w:ascii="Times New Roman" w:eastAsia="Cambria" w:hAnsi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> 7.4. Якщо будь-яка з умов цієї Угоди буде визнан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а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судом або будь-яким інши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м компетентним органом недійсною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, незаконн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ою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або не маю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чою чинності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, то це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жодн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им чином не вплине на дійсність, законність і дію інших умов Угоди, і Сторони вживатимуть всіх зусиль для того, щоб найкращим чином переглянути ці умови для того, щоб вони залишилися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чинними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відповідно до намірів, виражених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у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них.</w:t>
      </w:r>
    </w:p>
    <w:p w:rsidR="008B3ED9" w:rsidRPr="00CC3802" w:rsidRDefault="00CC3802" w:rsidP="00CC3802">
      <w:pPr>
        <w:ind w:firstLine="3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 7.5. Сторони не повинні повністю або частково передавати права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та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 xml:space="preserve"> 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обов’яз</w:t>
      </w:r>
      <w:r w:rsidRPr="00CC3802">
        <w:rPr>
          <w:rFonts w:ascii="Times New Roman" w:eastAsia="Cambria" w:hAnsi="Times New Roman"/>
          <w:sz w:val="24"/>
          <w:szCs w:val="24"/>
          <w:lang w:val="uk-UA"/>
        </w:rPr>
        <w:t>ки, що випливають з цієї Угоди, без попередньої письмової згоди іншої сторони.</w:t>
      </w:r>
    </w:p>
    <w:p w:rsidR="008B3ED9" w:rsidRPr="00CC3802" w:rsidRDefault="008B3ED9" w:rsidP="008B3ED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3802">
        <w:rPr>
          <w:rFonts w:ascii="Times New Roman" w:eastAsia="Cambria" w:hAnsi="Times New Roman"/>
          <w:b/>
          <w:bCs/>
          <w:sz w:val="24"/>
          <w:szCs w:val="24"/>
          <w:lang w:val="uk-UA"/>
        </w:rPr>
        <w:t xml:space="preserve">  </w:t>
      </w:r>
      <w:r w:rsidRPr="00CC38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Юридич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ні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адрес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рекв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зит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та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дписи Стор</w:t>
      </w:r>
      <w:r w:rsidR="00CC3802"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CC38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388"/>
      </w:tblGrid>
      <w:tr w:rsidR="008B3ED9" w:rsidRPr="00CC3802" w:rsidTr="00526C53">
        <w:tc>
          <w:tcPr>
            <w:tcW w:w="5103" w:type="dxa"/>
            <w:shd w:val="clear" w:color="auto" w:fill="FFFFFF"/>
          </w:tcPr>
          <w:p w:rsidR="008B3ED9" w:rsidRPr="00CC3802" w:rsidRDefault="008B3ED9" w:rsidP="00526C53">
            <w:pPr>
              <w:pStyle w:val="Clauseheading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388" w:type="dxa"/>
            <w:shd w:val="clear" w:color="auto" w:fill="FFFFFF"/>
          </w:tcPr>
          <w:p w:rsidR="008B3ED9" w:rsidRPr="00CC3802" w:rsidRDefault="008B3ED9" w:rsidP="00526C53">
            <w:pPr>
              <w:pStyle w:val="Clauseheading"/>
              <w:spacing w:before="0"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8B3ED9" w:rsidRPr="00CC3802" w:rsidRDefault="008B3ED9" w:rsidP="008B3ED9">
      <w:pPr>
        <w:pStyle w:val="Clauseheading"/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CF3" w:rsidRPr="00CC3802" w:rsidRDefault="00222CF3">
      <w:pPr>
        <w:rPr>
          <w:lang w:val="uk-UA"/>
        </w:rPr>
      </w:pPr>
    </w:p>
    <w:sectPr w:rsidR="00222CF3" w:rsidRPr="00CC3802">
      <w:pgSz w:w="11906" w:h="16838"/>
      <w:pgMar w:top="1134" w:right="849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D9"/>
    <w:rsid w:val="00026592"/>
    <w:rsid w:val="00182F93"/>
    <w:rsid w:val="001D69E2"/>
    <w:rsid w:val="00222CF3"/>
    <w:rsid w:val="002866B2"/>
    <w:rsid w:val="002D3AC3"/>
    <w:rsid w:val="003676C9"/>
    <w:rsid w:val="0043355F"/>
    <w:rsid w:val="00433DF5"/>
    <w:rsid w:val="00503010"/>
    <w:rsid w:val="005937AB"/>
    <w:rsid w:val="006317EC"/>
    <w:rsid w:val="00640EB5"/>
    <w:rsid w:val="006C6A2F"/>
    <w:rsid w:val="007E2537"/>
    <w:rsid w:val="008B3ED9"/>
    <w:rsid w:val="00B11FEF"/>
    <w:rsid w:val="00B81568"/>
    <w:rsid w:val="00BE4EF4"/>
    <w:rsid w:val="00C8286C"/>
    <w:rsid w:val="00CC3802"/>
    <w:rsid w:val="00CC4CBA"/>
    <w:rsid w:val="00DA16B4"/>
    <w:rsid w:val="00DC2400"/>
    <w:rsid w:val="00DC72B6"/>
    <w:rsid w:val="00E01A85"/>
    <w:rsid w:val="00EB45B0"/>
    <w:rsid w:val="00EB4CC5"/>
    <w:rsid w:val="00EB54B6"/>
    <w:rsid w:val="00EC7BF0"/>
    <w:rsid w:val="00EE5771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D9"/>
    <w:pPr>
      <w:suppressAutoHyphens/>
      <w:spacing w:line="240" w:lineRule="auto"/>
      <w:textAlignment w:val="baseline"/>
    </w:pPr>
    <w:rPr>
      <w:rFonts w:ascii="Cambria" w:eastAsia="WenQuanYi Micro Hei" w:hAnsi="Cambria" w:cs="Cambria"/>
      <w:kern w:val="1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3ED9"/>
    <w:rPr>
      <w:i/>
      <w:iCs/>
    </w:rPr>
  </w:style>
  <w:style w:type="paragraph" w:customStyle="1" w:styleId="Clauseheading">
    <w:name w:val="Clause heading"/>
    <w:basedOn w:val="a"/>
    <w:rsid w:val="008B3ED9"/>
    <w:pPr>
      <w:keepNext/>
      <w:spacing w:before="240" w:after="60"/>
      <w:textAlignment w:val="auto"/>
    </w:pPr>
    <w:rPr>
      <w:rFonts w:ascii="Arial" w:eastAsia="Times New Roman" w:hAnsi="Arial" w:cs="Arial"/>
      <w:b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D9"/>
    <w:pPr>
      <w:suppressAutoHyphens/>
      <w:spacing w:line="240" w:lineRule="auto"/>
      <w:textAlignment w:val="baseline"/>
    </w:pPr>
    <w:rPr>
      <w:rFonts w:ascii="Cambria" w:eastAsia="WenQuanYi Micro Hei" w:hAnsi="Cambria" w:cs="Cambria"/>
      <w:kern w:val="1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3ED9"/>
    <w:rPr>
      <w:i/>
      <w:iCs/>
    </w:rPr>
  </w:style>
  <w:style w:type="paragraph" w:customStyle="1" w:styleId="Clauseheading">
    <w:name w:val="Clause heading"/>
    <w:basedOn w:val="a"/>
    <w:rsid w:val="008B3ED9"/>
    <w:pPr>
      <w:keepNext/>
      <w:spacing w:before="240" w:after="60"/>
      <w:textAlignment w:val="auto"/>
    </w:pPr>
    <w:rPr>
      <w:rFonts w:ascii="Arial" w:eastAsia="Times New Roman" w:hAnsi="Arial" w:cs="Arial"/>
      <w:b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3189-DE1B-4735-94B7-B8E1530A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2016-10-10T06:33:00Z</cp:lastPrinted>
  <dcterms:created xsi:type="dcterms:W3CDTF">2016-08-04T09:24:00Z</dcterms:created>
  <dcterms:modified xsi:type="dcterms:W3CDTF">2016-10-10T13:07:00Z</dcterms:modified>
</cp:coreProperties>
</file>