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i w:val="1"/>
          <w:iCs w:val="1"/>
          <w:highlight w:val="green"/>
        </w:rPr>
      </w:pPr>
      <w:r w:rsidDel="00000000" w:rsidR="00000000" w:rsidRPr="00000000">
        <w:rPr>
          <w:rFonts w:ascii="Times New Roman" w:cs="Times New Roman" w:eastAsia="Times New Roman" w:hAnsi="Times New Roman"/>
          <w:i w:val="1"/>
          <w:iCs w:val="1"/>
          <w:rtl w:val="0"/>
        </w:rPr>
        <w:t xml:space="preserve">Форма анкети СОД</w:t>
      </w:r>
      <w:r w:rsidDel="00000000" w:rsidR="00000000" w:rsidRPr="00000000">
        <w:rPr>
          <w:rtl w:val="0"/>
        </w:rPr>
      </w:r>
    </w:p>
    <w:p w:rsidR="00000000" w:rsidDel="00000000" w:rsidP="00000000" w:rsidRDefault="00000000" w:rsidRPr="00000000" w14:paraId="000000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40" w:lineRule="auto"/>
        <w:ind w:right="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Голові Правління АТ КБ «ПриватБанк» </w:t>
      </w:r>
    </w:p>
    <w:p w:rsidR="00000000" w:rsidDel="00000000" w:rsidP="00000000" w:rsidRDefault="00000000" w:rsidRPr="00000000" w14:paraId="00000004">
      <w:pPr>
        <w:widowControl w:val="0"/>
        <w:spacing w:before="142" w:line="240" w:lineRule="auto"/>
        <w:ind w:right="6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 </w:t>
      </w:r>
    </w:p>
    <w:p w:rsidR="00000000" w:rsidDel="00000000" w:rsidP="00000000" w:rsidRDefault="00000000" w:rsidRPr="00000000" w14:paraId="00000005">
      <w:pPr>
        <w:widowControl w:val="0"/>
        <w:spacing w:before="567"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Шановний/а </w:t>
      </w:r>
      <w:r w:rsidDel="00000000" w:rsidR="00000000" w:rsidRPr="00000000">
        <w:rPr>
          <w:rFonts w:ascii="Times New Roman" w:cs="Times New Roman" w:eastAsia="Times New Roman" w:hAnsi="Times New Roman"/>
          <w:u w:val="single"/>
          <w:rtl w:val="0"/>
        </w:rPr>
        <w:t xml:space="preserve">_______________________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widowControl w:val="0"/>
        <w:spacing w:before="567" w:line="240" w:lineRule="auto"/>
        <w:ind w:left="123" w:right="-749.5275590551165" w:hanging="3.0000000000000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Просимо Вас розглянути питання щодо акредитації в АТ КБ «ПриватБанк» Суб’єкта оціночної діяльності «Назва СОД». </w:t>
      </w:r>
    </w:p>
    <w:p w:rsidR="00000000" w:rsidDel="00000000" w:rsidP="00000000" w:rsidRDefault="00000000" w:rsidRPr="00000000" w14:paraId="00000007">
      <w:pPr>
        <w:widowControl w:val="0"/>
        <w:spacing w:before="128" w:line="240" w:lineRule="auto"/>
        <w:ind w:left="123" w:right="-749.5275590551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Основна інформація про СОД «Назва СОД» наведена нижче: </w:t>
      </w:r>
    </w:p>
    <w:p w:rsidR="00000000" w:rsidDel="00000000" w:rsidP="00000000" w:rsidRDefault="00000000" w:rsidRPr="00000000" w14:paraId="00000008">
      <w:pPr>
        <w:widowControl w:val="0"/>
        <w:spacing w:before="128" w:line="240" w:lineRule="auto"/>
        <w:ind w:left="12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before="149"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Анкета суб’єкта оціночної діяльності</w:t>
      </w:r>
    </w:p>
    <w:tbl>
      <w:tblPr>
        <w:tblStyle w:val="Table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285"/>
        <w:gridCol w:w="510"/>
        <w:gridCol w:w="1755"/>
        <w:gridCol w:w="1935"/>
        <w:gridCol w:w="465"/>
        <w:gridCol w:w="1620"/>
        <w:gridCol w:w="1335"/>
        <w:tblGridChange w:id="0">
          <w:tblGrid>
            <w:gridCol w:w="1830"/>
            <w:gridCol w:w="285"/>
            <w:gridCol w:w="510"/>
            <w:gridCol w:w="1755"/>
            <w:gridCol w:w="1935"/>
            <w:gridCol w:w="465"/>
            <w:gridCol w:w="1620"/>
            <w:gridCol w:w="1335"/>
          </w:tblGrid>
        </w:tblGridChange>
      </w:tblGrid>
      <w:tr>
        <w:trPr>
          <w:cantSplit w:val="0"/>
          <w:trHeight w:val="1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Повна назва</w:t>
            </w:r>
          </w:p>
        </w:tc>
        <w:tc>
          <w:tcPr>
            <w:gridSpan w:val="7"/>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ind w:left="114" w:right="42" w:firstLine="3.0000000000000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державної реєстрації </w:t>
            </w:r>
          </w:p>
        </w:tc>
        <w:tc>
          <w:tcPr>
            <w:gridSpan w:val="3"/>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 ЄДРПОУ</w:t>
            </w:r>
          </w:p>
        </w:tc>
        <w:tc>
          <w:tcPr>
            <w:gridSpan w:val="3"/>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Керівник </w:t>
            </w:r>
          </w:p>
        </w:tc>
        <w:tc>
          <w:tcPr>
            <w:gridSpan w:val="7"/>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ІПН Керівника</w:t>
            </w:r>
          </w:p>
        </w:tc>
        <w:tc>
          <w:tcPr>
            <w:gridSpan w:val="7"/>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9" w:hRule="atLeast"/>
          <w:tblHeader w:val="0"/>
        </w:trPr>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ind w:left="118" w:right="44" w:firstLine="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Сертифікат суб’єкта оціночної діяльності</w:t>
            </w:r>
          </w:p>
        </w:tc>
        <w:tc>
          <w:tcPr>
            <w:gridSpan w:val="2"/>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w:t>
            </w:r>
          </w:p>
        </w:tc>
      </w:tr>
      <w:tr>
        <w:trPr>
          <w:cantSplit w:val="0"/>
          <w:trHeight w:val="15" w:hRule="atLeast"/>
          <w:tblHeader w:val="0"/>
        </w:trPr>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Юридична </w:t>
            </w:r>
          </w:p>
          <w:p w:rsidR="00000000" w:rsidDel="00000000" w:rsidP="00000000" w:rsidRDefault="00000000" w:rsidRPr="00000000" w14:paraId="0000003B">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w:t>
            </w:r>
          </w:p>
        </w:tc>
        <w:tc>
          <w:tcPr>
            <w:gridSpan w:val="3"/>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Фактична </w:t>
            </w:r>
          </w:p>
          <w:p w:rsidR="00000000" w:rsidDel="00000000" w:rsidP="00000000" w:rsidRDefault="00000000" w:rsidRPr="00000000" w14:paraId="00000040">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w:t>
            </w:r>
          </w:p>
        </w:tc>
        <w:tc>
          <w:tcPr>
            <w:gridSpan w:val="3"/>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044">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Контактні </w:t>
            </w:r>
          </w:p>
          <w:p w:rsidR="00000000" w:rsidDel="00000000" w:rsidP="00000000" w:rsidRDefault="00000000" w:rsidRPr="00000000" w14:paraId="00000045">
            <w:pPr>
              <w:widowControl w:val="0"/>
              <w:spacing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телефони</w:t>
            </w:r>
          </w:p>
        </w:tc>
        <w:tc>
          <w:tcPr>
            <w:gridSpan w:val="3"/>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Сайт </w:t>
            </w:r>
          </w:p>
        </w:tc>
        <w:tc>
          <w:tcPr>
            <w:gridSpan w:val="3"/>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9"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3"/>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9"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працюючих в головному офісі, осіб</w:t>
            </w:r>
          </w:p>
        </w:tc>
        <w:tc>
          <w:tcPr>
            <w:gridSpan w:val="3"/>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43"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ind w:left="1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Напрямки </w:t>
            </w:r>
          </w:p>
          <w:p w:rsidR="00000000" w:rsidDel="00000000" w:rsidP="00000000" w:rsidRDefault="00000000" w:rsidRPr="00000000" w14:paraId="0000005E">
            <w:pPr>
              <w:widowControl w:val="0"/>
              <w:spacing w:line="240" w:lineRule="auto"/>
              <w:ind w:left="115" w:right="41" w:firstLine="8.00000000000000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оцінки</w:t>
            </w:r>
            <w:r w:rsidDel="00000000" w:rsidR="00000000" w:rsidRPr="00000000">
              <w:rPr>
                <w:rFonts w:ascii="Times New Roman" w:cs="Times New Roman" w:eastAsia="Times New Roman" w:hAnsi="Times New Roman"/>
                <w:rtl w:val="0"/>
              </w:rPr>
              <w:t xml:space="preserve">, за якими СОД має намір співпрацювати </w:t>
            </w:r>
          </w:p>
          <w:p w:rsidR="00000000" w:rsidDel="00000000" w:rsidP="00000000" w:rsidRDefault="00000000" w:rsidRPr="00000000" w14:paraId="0000005F">
            <w:pPr>
              <w:widowControl w:val="0"/>
              <w:spacing w:line="240" w:lineRule="auto"/>
              <w:ind w:left="118" w:right="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 Банком зазначенням </w:t>
            </w:r>
          </w:p>
          <w:p w:rsidR="00000000" w:rsidDel="00000000" w:rsidP="00000000" w:rsidRDefault="00000000" w:rsidRPr="00000000" w14:paraId="00000060">
            <w:pPr>
              <w:widowControl w:val="0"/>
              <w:spacing w:line="240" w:lineRule="auto"/>
              <w:ind w:left="125" w:right="41" w:hanging="5.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досвіду роботи (років)*</w:t>
            </w:r>
          </w:p>
        </w:tc>
        <w:tc>
          <w:tcPr>
            <w:gridSpan w:val="6"/>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Напрям оцінки</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left="112" w:right="41" w:firstLine="3.00000000000000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(років)</w:t>
            </w:r>
          </w:p>
        </w:tc>
      </w:tr>
      <w:tr>
        <w:trPr>
          <w:cantSplit w:val="0"/>
          <w:trHeight w:val="4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gridSpan w:val="4"/>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об'єктів у матеріальній формі:</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t>
            </w:r>
          </w:p>
        </w:tc>
        <w:tc>
          <w:tcPr>
            <w:gridSpan w:val="4"/>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ind w:left="118" w:right="46"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нерухомих речей (нерухомого майна, нерухомості), у тому числі експертна грошова оцінка земельних ділянок</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t>
            </w:r>
          </w:p>
        </w:tc>
        <w:tc>
          <w:tcPr>
            <w:gridSpan w:val="4"/>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машин і обладнання</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0">
      <w:pPr>
        <w:widowControl w:val="0"/>
        <w:spacing w:line="240" w:lineRule="auto"/>
        <w:rPr>
          <w:rFonts w:ascii="Times New Roman" w:cs="Times New Roman" w:eastAsia="Times New Roman" w:hAnsi="Times New Roman"/>
          <w:i w:val="1"/>
          <w:iCs w:val="1"/>
        </w:rPr>
      </w:pPr>
      <w:r w:rsidDel="00000000" w:rsidR="00000000" w:rsidRPr="00000000">
        <w:rPr>
          <w:rtl w:val="0"/>
        </w:rPr>
      </w:r>
    </w:p>
    <w:tbl>
      <w:tblPr>
        <w:tblStyle w:val="Table2"/>
        <w:tblW w:w="975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285"/>
        <w:gridCol w:w="510"/>
        <w:gridCol w:w="1770"/>
        <w:gridCol w:w="1110"/>
        <w:gridCol w:w="2385"/>
        <w:gridCol w:w="525"/>
        <w:gridCol w:w="1335"/>
        <w:tblGridChange w:id="0">
          <w:tblGrid>
            <w:gridCol w:w="1830"/>
            <w:gridCol w:w="285"/>
            <w:gridCol w:w="510"/>
            <w:gridCol w:w="1770"/>
            <w:gridCol w:w="1110"/>
            <w:gridCol w:w="2385"/>
            <w:gridCol w:w="525"/>
            <w:gridCol w:w="1335"/>
          </w:tblGrid>
        </w:tblGridChange>
      </w:tblGrid>
      <w:tr>
        <w:trPr>
          <w:cantSplit w:val="0"/>
          <w:trHeight w:val="43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ind w:left="120" w:right="41" w:firstLine="9.00000000000000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позначити «Х» непотрібне</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w:t>
            </w:r>
          </w:p>
        </w:tc>
        <w:tc>
          <w:tcPr>
            <w:gridSpan w:val="4"/>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дорожніх транспортних засобів</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w:t>
            </w:r>
          </w:p>
        </w:tc>
        <w:tc>
          <w:tcPr>
            <w:gridSpan w:val="4"/>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літальних апаратів</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w:t>
            </w:r>
          </w:p>
        </w:tc>
        <w:tc>
          <w:tcPr>
            <w:gridSpan w:val="4"/>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судноплавних засобів</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w:t>
            </w:r>
          </w:p>
        </w:tc>
        <w:tc>
          <w:tcPr>
            <w:gridSpan w:val="4"/>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left="120" w:right="46" w:firstLine="3.0000000000000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рухомих речей, що становлять культурну цінність</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w:t>
            </w:r>
          </w:p>
        </w:tc>
        <w:tc>
          <w:tcPr>
            <w:gridSpan w:val="4"/>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ind w:left="116" w:right="4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рухомих речей, крім таких, що віднесені до машин, обладнання, дорожніх транспортних засобів, літальних апаратів, судноплавних засобів та тих, що становлять культурну цінність</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gridSpan w:val="4"/>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ind w:left="116" w:right="46"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цілісних майнових комплексів, паїв. Цінних паперів, майнових прав та нематеріальних активів, у тому числі оцінка прав на об'єкти інтелектуальної власності</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w:t>
            </w:r>
          </w:p>
        </w:tc>
        <w:tc>
          <w:tcPr>
            <w:gridSpan w:val="4"/>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ind w:left="120" w:right="46" w:firstLine="3.00000000000000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цілісних майнових комплексів, паїв, цінних паперів, майнових прав та нематеріальних активів (крім оцінки прав на об'єкти інтелектуальної власності)</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w:t>
            </w:r>
          </w:p>
        </w:tc>
        <w:tc>
          <w:tcPr>
            <w:gridSpan w:val="4"/>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прав на об'єкти інтелектуальної власності</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3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ind w:left="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tc>
        <w:tc>
          <w:tcPr>
            <w:gridSpan w:val="4"/>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земельних ділянок</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ind w:left="115" w:right="41"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напрями діяльності </w:t>
            </w:r>
          </w:p>
          <w:p w:rsidR="00000000" w:rsidDel="00000000" w:rsidP="00000000" w:rsidRDefault="00000000" w:rsidRPr="00000000" w14:paraId="000000CA">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підприємства:</w:t>
            </w:r>
          </w:p>
        </w:tc>
        <w:tc>
          <w:tcPr>
            <w:gridSpan w:val="7"/>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Регіональні представники</w:t>
            </w:r>
          </w:p>
        </w:tc>
        <w:tc>
          <w:tcPr>
            <w:gridSpan w:val="3"/>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Область (у випадку, якщо СОД має відділення, вказується його адреса)</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Місто</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Контактна особа </w:t>
            </w:r>
          </w:p>
        </w:tc>
        <w:tc>
          <w:tcPr>
            <w:gridSpan w:val="2"/>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w:t>
            </w:r>
          </w:p>
        </w:tc>
      </w:tr>
      <w:tr>
        <w:trPr>
          <w:cantSplit w:val="0"/>
          <w:trHeight w:val="3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3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tbl>
      <w:tblPr>
        <w:tblStyle w:val="Table3"/>
        <w:tblW w:w="97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715"/>
        <w:gridCol w:w="2355"/>
        <w:tblGridChange w:id="0">
          <w:tblGrid>
            <w:gridCol w:w="1710"/>
            <w:gridCol w:w="5715"/>
            <w:gridCol w:w="2355"/>
          </w:tblGrid>
        </w:tblGridChange>
      </w:tblGrid>
      <w:tr>
        <w:trPr>
          <w:cantSplit w:val="0"/>
          <w:trHeight w:val="103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ind w:left="112" w:right="43" w:firstLine="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Банки – партнери</w:t>
            </w:r>
            <w:r w:rsidDel="00000000" w:rsidR="00000000" w:rsidRPr="00000000">
              <w:rPr>
                <w:rFonts w:ascii="Times New Roman" w:cs="Times New Roman" w:eastAsia="Times New Roman" w:hAnsi="Times New Roman"/>
                <w:rtl w:val="0"/>
              </w:rPr>
              <w:t xml:space="preserve">, з якими </w:t>
            </w:r>
          </w:p>
          <w:p w:rsidR="00000000" w:rsidDel="00000000" w:rsidP="00000000" w:rsidRDefault="00000000" w:rsidRPr="00000000" w14:paraId="000000ED">
            <w:pPr>
              <w:widowControl w:val="0"/>
              <w:spacing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співпрацює </w:t>
            </w:r>
          </w:p>
          <w:p w:rsidR="00000000" w:rsidDel="00000000" w:rsidP="00000000" w:rsidRDefault="00000000" w:rsidRPr="00000000" w14:paraId="000000EE">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 на поточний момент</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 банку </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 </w:t>
            </w:r>
          </w:p>
          <w:p w:rsidR="00000000" w:rsidDel="00000000" w:rsidP="00000000" w:rsidRDefault="00000000" w:rsidRPr="00000000" w14:paraId="000000F1">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співпраці </w:t>
            </w:r>
          </w:p>
          <w:p w:rsidR="00000000" w:rsidDel="00000000" w:rsidP="00000000" w:rsidRDefault="00000000" w:rsidRPr="00000000" w14:paraId="000000F2">
            <w:pPr>
              <w:widowControl w:val="0"/>
              <w:spacing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(років)</w:t>
            </w:r>
          </w:p>
        </w:tc>
      </w:tr>
      <w:tr>
        <w:trPr>
          <w:cantSplit w:val="0"/>
          <w:trHeight w:val="48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 </w:t>
            </w:r>
          </w:p>
          <w:p w:rsidR="00000000" w:rsidDel="00000000" w:rsidP="00000000" w:rsidRDefault="00000000" w:rsidRPr="00000000" w14:paraId="000000FD">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посадових </w:t>
            </w:r>
          </w:p>
          <w:p w:rsidR="00000000" w:rsidDel="00000000" w:rsidP="00000000" w:rsidRDefault="00000000" w:rsidRPr="00000000" w14:paraId="000000FE">
            <w:pPr>
              <w:widowControl w:val="0"/>
              <w:spacing w:line="240" w:lineRule="auto"/>
              <w:ind w:left="118" w:right="43"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осіб в банках, які можуть </w:t>
            </w:r>
          </w:p>
          <w:p w:rsidR="00000000" w:rsidDel="00000000" w:rsidP="00000000" w:rsidRDefault="00000000" w:rsidRPr="00000000" w14:paraId="000000FF">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w:t>
            </w:r>
          </w:p>
          <w:p w:rsidR="00000000" w:rsidDel="00000000" w:rsidP="00000000" w:rsidRDefault="00000000" w:rsidRPr="00000000" w14:paraId="00000100">
            <w:pPr>
              <w:widowControl w:val="0"/>
              <w:spacing w:line="240" w:lineRule="auto"/>
              <w:ind w:left="118" w:right="43" w:hanging="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рекомендації щодо співпраці</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посада </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Контактний </w:t>
            </w:r>
          </w:p>
          <w:p w:rsidR="00000000" w:rsidDel="00000000" w:rsidP="00000000" w:rsidRDefault="00000000" w:rsidRPr="00000000" w14:paraId="00000103">
            <w:pPr>
              <w:widowControl w:val="0"/>
              <w:spacing w:line="240" w:lineRule="auto"/>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w:t>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bl>
      <w:tblPr>
        <w:tblStyle w:val="Table4"/>
        <w:tblW w:w="973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0"/>
        <w:gridCol w:w="2070"/>
        <w:gridCol w:w="1815"/>
        <w:tblGridChange w:id="0">
          <w:tblGrid>
            <w:gridCol w:w="5850"/>
            <w:gridCol w:w="2070"/>
            <w:gridCol w:w="1815"/>
          </w:tblGrid>
        </w:tblGridChange>
      </w:tblGrid>
      <w:tr>
        <w:trPr>
          <w:cantSplit w:val="0"/>
          <w:trHeight w:val="39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ind w:left="112" w:right="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співпрацювали з АТ КБ «ПриватБанк» раніше (вказати протягом якого часу)</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ind w:left="112" w:right="44"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є керівником або власником істотної участі*, у т.ч. опосередковано, юридичної особи фізична особа, яка є працівником або керівником Банку та\або його близькою особою** ? </w:t>
            </w:r>
          </w:p>
        </w:tc>
        <w:tc>
          <w:tcPr>
            <w:gridSpan w:val="2"/>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ind w:left="118" w:right="45" w:hanging="5.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 (якщо відповідь «так» необхідно вказати Прізвище, Ім’я та по батькові такої особи та родинний зв’язок в разі наявності)</w:t>
            </w:r>
          </w:p>
        </w:tc>
      </w:tr>
      <w:tr>
        <w:trPr>
          <w:cantSplit w:val="0"/>
          <w:trHeight w:val="6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ind w:left="118" w:right="4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бере участь юридична особа в якості відповідача у будь-якому цивільному, адміністративному, господарському чи кримінальному провадженні, в тому числі на стадії досудового провадження або слідства?</w:t>
            </w:r>
          </w:p>
        </w:tc>
        <w:tc>
          <w:tcPr>
            <w:gridSpan w:val="2"/>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ind w:left="112" w:right="45" w:firstLine="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відкритого розрахункового рахунку в АТ КБ «ПриватБанк» (так/ні)</w:t>
            </w:r>
          </w:p>
        </w:tc>
        <w:tc>
          <w:tcPr>
            <w:gridSpan w:val="2"/>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ind w:left="118" w:right="47"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розрахункового рахунку, відкритого в АТ КБ «ПриватБанк» (якщо відкрито)</w:t>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 підтверджує інформацію про відсутність упродовж трьох останніх років, що передують даті, на яку здійснюється оцінка кредитного ризику, інформації про суб'єкта оціночної діяльності та оцінювачів, які виконують оцінку в його складі, щодо порушень нормативно-правових актів з оцінки майна, майнових прав та професійної оціночної діяльності в Україні; фактів порушень обмежень щодо проведення оцінки майна, установлених законодавством України; рецензій на звіт про оцінку майна, що класифікується за такою ознакою: звіт про оцінку майна не відповідає вимогам нормативно-правових актів з оцінки майна, є неякісним та (або) непрофесійним і не може бути використаний.</w:t>
            </w:r>
          </w:p>
        </w:tc>
        <w:tc>
          <w:tcPr>
            <w:gridSpan w:val="2"/>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 компанія забезпечує безперервність роботи у разі відключень електроенергії?</w:t>
            </w:r>
          </w:p>
        </w:tc>
        <w:tc>
          <w:tcPr>
            <w:gridSpan w:val="2"/>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 компанія забезпечує безперебійність роботи у випадку відсутності зв’язку та мережі Інтернет?</w:t>
            </w:r>
          </w:p>
        </w:tc>
        <w:tc>
          <w:tcPr>
            <w:gridSpan w:val="2"/>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widowControl w:val="0"/>
        <w:spacing w:line="240" w:lineRule="auto"/>
        <w:ind w:left="118" w:right="13" w:firstLine="1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істотна участь – пряме та/або опосередковане володіння однією особою самостійно чи спільно з іншими особами 10 і більше відсотками статутного капіталу та/або права голосу акцій, паїв юридичної особи або незалежна від формального володіння можливість значного впливу на управління чи діяльність юридичної особи.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 </w:t>
      </w:r>
    </w:p>
    <w:p w:rsidR="00000000" w:rsidDel="00000000" w:rsidP="00000000" w:rsidRDefault="00000000" w:rsidRPr="00000000" w14:paraId="00000123">
      <w:pPr>
        <w:widowControl w:val="0"/>
        <w:spacing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близька особа - це: </w:t>
      </w:r>
    </w:p>
    <w:p w:rsidR="00000000" w:rsidDel="00000000" w:rsidP="00000000" w:rsidRDefault="00000000" w:rsidRPr="00000000" w14:paraId="00000124">
      <w:pPr>
        <w:widowControl w:val="0"/>
        <w:spacing w:line="240" w:lineRule="auto"/>
        <w:ind w:left="16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члени сім’ї працівника/керівника Банку: </w:t>
      </w:r>
    </w:p>
    <w:p w:rsidR="00000000" w:rsidDel="00000000" w:rsidP="00000000" w:rsidRDefault="00000000" w:rsidRPr="00000000" w14:paraId="00000125">
      <w:pPr>
        <w:widowControl w:val="0"/>
        <w:spacing w:line="240" w:lineRule="auto"/>
        <w:ind w:left="117" w:right="19" w:firstLine="6.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особа, яка перебуває у шлюбі із працівником/керівником та діти працівника/керівника до досягнення ними повноліття - незалежно від спільного проживання із працівником/керівником; </w:t>
      </w:r>
    </w:p>
    <w:p w:rsidR="00000000" w:rsidDel="00000000" w:rsidP="00000000" w:rsidRDefault="00000000" w:rsidRPr="00000000" w14:paraId="00000126">
      <w:pPr>
        <w:widowControl w:val="0"/>
        <w:spacing w:line="240" w:lineRule="auto"/>
        <w:ind w:left="115" w:right="14" w:hanging="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будь-які особи, які спільно проживають, пов’язані спільним побутом, мають взаємні права та обов’язки із працівником/керівником (крім осіб, взаємні права та обов’язки яких не мають характеру сімейних), у тому числі особи, які спільно проживають, але не перебувають у шлюбі, та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rsidR="00000000" w:rsidDel="00000000" w:rsidP="00000000" w:rsidRDefault="00000000" w:rsidRPr="00000000" w14:paraId="00000127">
      <w:pPr>
        <w:widowControl w:val="0"/>
        <w:spacing w:line="240" w:lineRule="auto"/>
        <w:ind w:left="115" w:right="14" w:hanging="1.99999999999999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Відомості про оцінювачів, що працюють у складі СОД </w:t>
      </w:r>
    </w:p>
    <w:tbl>
      <w:tblPr>
        <w:tblStyle w:val="Table5"/>
        <w:tblW w:w="970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2670"/>
        <w:gridCol w:w="1980"/>
        <w:gridCol w:w="1980"/>
        <w:gridCol w:w="2670"/>
        <w:tblGridChange w:id="0">
          <w:tblGrid>
            <w:gridCol w:w="405"/>
            <w:gridCol w:w="2670"/>
            <w:gridCol w:w="1980"/>
            <w:gridCol w:w="1980"/>
            <w:gridCol w:w="2670"/>
          </w:tblGrid>
        </w:tblGridChange>
      </w:tblGrid>
      <w:tr>
        <w:trPr>
          <w:cantSplit w:val="0"/>
          <w:trHeight w:val="736"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оцінювача</w:t>
            </w:r>
          </w:p>
        </w:tc>
        <w:tc>
          <w:tcPr>
            <w:gridSpan w:val="3"/>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ind w:left="118" w:right="50" w:hanging="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Відомості про кваліфікаційний документ оцінювача </w:t>
            </w:r>
          </w:p>
        </w:tc>
      </w:tr>
      <w:tr>
        <w:trPr>
          <w:cantSplit w:val="0"/>
          <w:trHeight w:val="7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ind w:left="118" w:right="50" w:hanging="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видачі</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ind w:left="118" w:right="50" w:hanging="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 та реквізити документу </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ind w:left="118" w:right="50" w:hanging="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Ким виданий</w:t>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ind w:left="118" w:firstLine="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ind w:left="118" w:right="50" w:hanging="4.0000000000000036"/>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ind w:left="118" w:right="50" w:hanging="4.0000000000000036"/>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ind w:left="118" w:right="50" w:hanging="4.0000000000000036"/>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Інформація про засновників та основних акціонерів </w:t>
      </w:r>
    </w:p>
    <w:tbl>
      <w:tblPr>
        <w:tblStyle w:val="Table6"/>
        <w:tblW w:w="967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7320"/>
        <w:gridCol w:w="1815"/>
        <w:tblGridChange w:id="0">
          <w:tblGrid>
            <w:gridCol w:w="540"/>
            <w:gridCol w:w="7320"/>
            <w:gridCol w:w="1815"/>
          </w:tblGrid>
        </w:tblGridChange>
      </w:tblGrid>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 </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Назва підприємства або П.І.Б засновника, акціонера, які мають більше 5% </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власності</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ind w:left="12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 _________ 20__р</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47">
      <w:pPr>
        <w:widowControl w:val="0"/>
        <w:spacing w:line="240" w:lineRule="auto"/>
        <w:ind w:left="119" w:right="1049" w:firstLine="0"/>
        <w:jc w:val="center"/>
        <w:rPr/>
      </w:pPr>
      <w:r w:rsidDel="00000000" w:rsidR="00000000" w:rsidRPr="00000000">
        <w:rPr>
          <w:rFonts w:ascii="Times New Roman" w:cs="Times New Roman" w:eastAsia="Times New Roman" w:hAnsi="Times New Roman"/>
          <w:rtl w:val="0"/>
        </w:rPr>
        <w:t xml:space="preserve"> Посада ________________ ПІБ мп підпис</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color w:val="000000"/>
    </w:rPr>
    <w:tblPr>
      <w:tblStyleRowBandSize w:val="1"/>
      <w:tblStyleColBandSize w:val="1"/>
    </w:tblPr>
  </w:style>
  <w:style w:type="table" w:styleId="Table2">
    <w:basedOn w:val="TableNormal"/>
    <w:rPr>
      <w:color w:val="000000"/>
    </w:rPr>
    <w:tblPr>
      <w:tblStyleRowBandSize w:val="1"/>
      <w:tblStyleColBandSize w:val="1"/>
    </w:tblPr>
  </w:style>
  <w:style w:type="table" w:styleId="Table3">
    <w:basedOn w:val="TableNormal"/>
    <w:rPr>
      <w:color w:val="000000"/>
    </w:rPr>
    <w:tblPr>
      <w:tblStyleRowBandSize w:val="1"/>
      <w:tblStyleColBandSize w:val="1"/>
    </w:tblPr>
  </w:style>
  <w:style w:type="table" w:styleId="Table4">
    <w:basedOn w:val="TableNormal"/>
    <w:rPr>
      <w:color w:val="000000"/>
    </w:rPr>
    <w:tblPr>
      <w:tblStyleRowBandSize w:val="1"/>
      <w:tblStyleColBandSize w:val="1"/>
    </w:tblPr>
  </w:style>
  <w:style w:type="table" w:styleId="Table5">
    <w:basedOn w:val="TableNormal"/>
    <w:rPr>
      <w:color w:val="000000"/>
    </w:rPr>
    <w:tblPr>
      <w:tblStyleRowBandSize w:val="1"/>
      <w:tblStyleColBandSize w:val="1"/>
    </w:tblPr>
  </w:style>
  <w:style w:type="table" w:styleId="Table6">
    <w:basedOn w:val="TableNormal"/>
    <w:rPr>
      <w:color w:val="00000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