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ind w:lef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Перелік документів, що надаються суб'єктом оціночної діяльності для акредитації</w:t>
      </w:r>
    </w:p>
    <w:p w:rsidR="00000000" w:rsidDel="00000000" w:rsidP="00000000" w:rsidRDefault="00000000" w:rsidRPr="00000000" w14:paraId="00000002">
      <w:pPr>
        <w:widowControl w:val="0"/>
        <w:spacing w:line="368" w:lineRule="auto"/>
        <w:ind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 Лист-анкета щодо розгляду питання про акредитацію. </w:t>
      </w:r>
    </w:p>
    <w:p w:rsidR="00000000" w:rsidDel="00000000" w:rsidP="00000000" w:rsidRDefault="00000000" w:rsidRPr="00000000" w14:paraId="00000003">
      <w:pPr>
        <w:widowControl w:val="0"/>
        <w:spacing w:before="35" w:line="252.00000000000003" w:lineRule="auto"/>
        <w:ind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2. Довідка з Єдиного державного реєстру юридичних осіб та фізичних осіб-підприємців (за всіма критеріями запиту). </w:t>
      </w:r>
    </w:p>
    <w:p w:rsidR="00000000" w:rsidDel="00000000" w:rsidP="00000000" w:rsidRDefault="00000000" w:rsidRPr="00000000" w14:paraId="00000004">
      <w:pPr>
        <w:widowControl w:val="0"/>
        <w:spacing w:before="131" w:line="252.00000000000003" w:lineRule="auto"/>
        <w:ind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3. Лист від суб'єкта оціночної діяльності про останні зміни в керівному складі суб'єкта оціночної діяльності (підписаний керівником суб'єкта оціночної діяльності). </w:t>
      </w:r>
    </w:p>
    <w:p w:rsidR="00000000" w:rsidDel="00000000" w:rsidP="00000000" w:rsidRDefault="00000000" w:rsidRPr="00000000" w14:paraId="00000005">
      <w:pPr>
        <w:widowControl w:val="0"/>
        <w:spacing w:before="128" w:line="254" w:lineRule="auto"/>
        <w:ind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4. Лист-підтвердження суб'єкта оціночної діяльності про відсутність будь-яких змін в установчих документах, сертифікатах, які надаються банку для вирішення питання щодо акредитації.</w:t>
      </w:r>
    </w:p>
    <w:p w:rsidR="00000000" w:rsidDel="00000000" w:rsidP="00000000" w:rsidRDefault="00000000" w:rsidRPr="00000000" w14:paraId="00000006">
      <w:pPr>
        <w:widowControl w:val="0"/>
        <w:spacing w:before="129" w:line="252.00000000000003" w:lineRule="auto"/>
        <w:ind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5. Копія діючого Сертифікату суб’єкту оціночної діяльності та попередніх Сертифікатів за три попередніх роки. </w:t>
      </w:r>
    </w:p>
    <w:p w:rsidR="00000000" w:rsidDel="00000000" w:rsidP="00000000" w:rsidRDefault="00000000" w:rsidRPr="00000000" w14:paraId="00000007">
      <w:pPr>
        <w:widowControl w:val="0"/>
        <w:spacing w:before="128" w:line="255" w:lineRule="auto"/>
        <w:ind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6.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Копії трудових угод або договорів про співробітництво з оцінювачами, які працюють у суб'єкта оціночної діяльності. </w:t>
      </w:r>
    </w:p>
    <w:p w:rsidR="00000000" w:rsidDel="00000000" w:rsidP="00000000" w:rsidRDefault="00000000" w:rsidRPr="00000000" w14:paraId="00000008">
      <w:pPr>
        <w:widowControl w:val="0"/>
        <w:spacing w:before="128" w:line="255" w:lineRule="auto"/>
        <w:ind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7. Копії кваліфікаційних свідоцтв, посвідчень про підвищення кваліфікації оцінювачів, які працюють у суб'єкта оціночної діяльності. </w:t>
      </w:r>
    </w:p>
    <w:p w:rsidR="00000000" w:rsidDel="00000000" w:rsidP="00000000" w:rsidRDefault="00000000" w:rsidRPr="00000000" w14:paraId="00000009">
      <w:pPr>
        <w:widowControl w:val="0"/>
        <w:spacing w:before="128" w:line="255" w:lineRule="auto"/>
        <w:ind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8. Копії паспортів та довідок про присвоєння ідентифікаційних податкових номерів оцінювачів, які працюють у суб'єкта оціночної діяльності. </w:t>
      </w:r>
    </w:p>
    <w:p w:rsidR="00000000" w:rsidDel="00000000" w:rsidP="00000000" w:rsidRDefault="00000000" w:rsidRPr="00000000" w14:paraId="0000000A">
      <w:pPr>
        <w:widowControl w:val="0"/>
        <w:spacing w:before="128" w:line="255" w:lineRule="auto"/>
        <w:ind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9. Документи, що підтверджують досвід співпраці з іншими банками, державними установами/підприємствами, корпоративними клієнтами. Досвід співпраці підтверджується рекомендаційними листами, інформацією з відкритих джерел (в тому числі сайти банків), скан-копіями документів (наприклад, договори, які дають змогу встановити факт надання послуг). Надані підтверджуючі документи повинні бути не старші, ніж 12 місяців (за умови відсутності інформації про співпрацю у відкритих джерелах).</w:t>
      </w:r>
    </w:p>
    <w:p w:rsidR="00000000" w:rsidDel="00000000" w:rsidP="00000000" w:rsidRDefault="00000000" w:rsidRPr="00000000" w14:paraId="0000000B">
      <w:pPr>
        <w:widowControl w:val="0"/>
        <w:spacing w:before="128" w:line="255" w:lineRule="auto"/>
        <w:ind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10. Опитувальник щодо системи внутрішнього контролю та системи управління операційними ризиками (згідно Додатку 1 до переліку документів).</w:t>
      </w:r>
    </w:p>
    <w:p w:rsidR="00000000" w:rsidDel="00000000" w:rsidP="00000000" w:rsidRDefault="00000000" w:rsidRPr="00000000" w14:paraId="0000000C">
      <w:pPr>
        <w:widowControl w:val="0"/>
        <w:spacing w:before="128" w:line="255" w:lineRule="auto"/>
        <w:ind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11. Довідку про співробітників СОД (див. Додаток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131" w:line="240" w:lineRule="auto"/>
        <w:ind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Можуть бути запитані додатково:</w:t>
      </w:r>
    </w:p>
    <w:p w:rsidR="00000000" w:rsidDel="00000000" w:rsidP="00000000" w:rsidRDefault="00000000" w:rsidRPr="00000000" w14:paraId="0000000E">
      <w:pPr>
        <w:widowControl w:val="0"/>
        <w:spacing w:before="139" w:line="254" w:lineRule="auto"/>
        <w:ind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12. Список представництв / представників в регіонах України (найменування, ПІБ, юридична адреса, контактний телефон). Копії документів стосовно діяльності представництв/представників та філій СОД (реєстраційні документи, трудові договори, сертифікати ФДМУ, трудові книжки, інші документи щодо підтвердження діяльності) подаються на окремий запит Банку. </w:t>
      </w:r>
    </w:p>
    <w:p w:rsidR="00000000" w:rsidDel="00000000" w:rsidP="00000000" w:rsidRDefault="00000000" w:rsidRPr="00000000" w14:paraId="0000000F">
      <w:pPr>
        <w:widowControl w:val="0"/>
        <w:spacing w:before="127" w:line="252.00000000000003" w:lineRule="auto"/>
        <w:ind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13. Приклади звітів про незалежну оцінку (в електронному вигляді) за тими спеціалізаціями оцінки, за якими СОД має намір отримати акредитацію у Банку. </w:t>
      </w:r>
    </w:p>
    <w:p w:rsidR="00000000" w:rsidDel="00000000" w:rsidP="00000000" w:rsidRDefault="00000000" w:rsidRPr="00000000" w14:paraId="00000010">
      <w:pPr>
        <w:widowControl w:val="0"/>
        <w:spacing w:before="141" w:line="240" w:lineRule="auto"/>
        <w:ind w:right="-156.25984251968362" w:firstLine="141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14. Інші документи на вимогу Банку.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141" w:line="240" w:lineRule="auto"/>
        <w:ind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15. Довідку про діючі тарифи СОД (див. Додаток 3).</w:t>
      </w:r>
    </w:p>
    <w:p w:rsidR="00000000" w:rsidDel="00000000" w:rsidP="00000000" w:rsidRDefault="00000000" w:rsidRPr="00000000" w14:paraId="00000012">
      <w:pPr>
        <w:widowControl w:val="0"/>
        <w:spacing w:before="141" w:line="240" w:lineRule="auto"/>
        <w:ind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0"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Зазначені документи надаються до Банку в копіях (нотаріальне посвідчення не вимагається).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0"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0"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Подача СОД неправдивих відомостей, неповного або неналежним чином оформленого пакету документів є підставою для відмови у акредитації такого СОД у Банку.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0" w:right="-156.25984251968362" w:firstLine="1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0" w:right="-156.25984251968362" w:firstLine="141"/>
        <w:jc w:val="both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Документи, надані в Банк для розгляду питання про акредитацію, поверненню не підлягають.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40" w:before="240" w:lineRule="auto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Додаток 1</w:t>
      </w:r>
    </w:p>
    <w:p w:rsidR="00000000" w:rsidDel="00000000" w:rsidP="00000000" w:rsidRDefault="00000000" w:rsidRPr="00000000" w14:paraId="0000002E">
      <w:pPr>
        <w:widowControl w:val="0"/>
        <w:spacing w:before="51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Опитувальник щодо системи внутрішнього контролю та системи управління операційними ризиками</w:t>
      </w:r>
    </w:p>
    <w:tbl>
      <w:tblPr>
        <w:tblStyle w:val="Table1"/>
        <w:tblW w:w="9810.0" w:type="dxa"/>
        <w:jc w:val="left"/>
        <w:tblInd w:w="-2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0"/>
        <w:gridCol w:w="1395"/>
        <w:gridCol w:w="1515"/>
        <w:tblGridChange w:id="0">
          <w:tblGrid>
            <w:gridCol w:w="6900"/>
            <w:gridCol w:w="1395"/>
            <w:gridCol w:w="15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Питання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Відповідь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Коментарі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 наявна ефективна система управління операційним ризиком та/або внутрішнього контролю? Які заходи вживаються для забезпечення її/їх ефективності? (Елементи СВК та Управління ризиками:</w:t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Наявність ВНД з СВК та Управління Ризиками</w:t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Наявність підрозділу управління ризиками</w:t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Наявність процесу управління інцидентами (ідентифікація, реєстрація, усунення, запобіжні заходи)</w:t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Процес оцінки ризиків)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 наявна ефективна система запобіганню внутрішньому шахрайству? Які заходи вживаються для забезпечення її ефективності?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Як компанія забезпечує ефективну протидію зовнішньому шахрайству при наданні послуг Банку? Які заходи вживаються для забезпечення її ефективності?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 наявна система фіксації та аналізу інцидентів, що пов'язані з наданням послуг? Які заходи вживаються для забезпечення її ефективності? Як компанія повідомлятиме Банк про інциденти, що пов'язані з наданням послуг Банку?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 були у 3-ї сторони в минулому інциденти, які призвели до негативних наслідків для вашого бізнесу та/або клієнтів та/або мали розголос в ЗМІ? Якщо так, будь ласка, надайте пояснення цих інцидентів та/або посилання на них</w:t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 були у вас у минулому інциденти, які могли поставити під загрозу безпеку ваших клієнтів або вашого бізнесу? Якщо так, будь ласка, надайте пояснення цих інцидентів та/або посилання на них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 наявна ефективна система забезпечення неперервності діяльності (BCP) та/або Політика BCP? Які заходи вживаються для забезпечення її ефективності?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 існує план безперервності бізнесу (BCP) для процесів, що надаються Банку третьою стороною?</w:t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Хто відповідає за розробку та впровадження BCP?</w:t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Як часто переглядається та оновлюється плани BCP?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 існує план реагування на надзвичайні (crisis management) ситуації для процесів, що надаються третьою стороною?</w:t>
            </w:r>
          </w:p>
          <w:p w:rsidR="00000000" w:rsidDel="00000000" w:rsidP="00000000" w:rsidRDefault="00000000" w:rsidRPr="00000000" w14:paraId="0000005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Хто відповідає за розробку та впровадження плану реагування на надзвичайні ситуації?</w:t>
            </w:r>
          </w:p>
          <w:p w:rsidR="00000000" w:rsidDel="00000000" w:rsidP="00000000" w:rsidRDefault="00000000" w:rsidRPr="00000000" w14:paraId="0000005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Як часто план реагування на надзвичайні ситуації переглядається та оновлюється?</w:t>
            </w:r>
          </w:p>
          <w:p w:rsidR="00000000" w:rsidDel="00000000" w:rsidP="00000000" w:rsidRDefault="00000000" w:rsidRPr="00000000" w14:paraId="0000005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Які заходи вживаються для забезпечення їх ефективності?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 має компанія достатні резервні ресурси для забезпечення неперервності діяльності? Які заходи вживаються для забезпечення цього?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Яким чином забезпечується ефективний контроль якості послуг, що надаються? Які заходи вживаються для забезпечення цього?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 проводився в компанії незалежний аудит / ІТ-аудит за останні 12 місяців? Які результати аудиту?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 має компанія достатню кількість кваліфікованих співробітників для виконання послуг для Банку?</w:t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 існують альтернативні робочі місця для персоналу, який виконує процеси, що надаються Банку? Які заходи вживаються для забезпечення цього?</w:t>
            </w:r>
          </w:p>
          <w:p w:rsidR="00000000" w:rsidDel="00000000" w:rsidP="00000000" w:rsidRDefault="00000000" w:rsidRPr="00000000" w14:paraId="0000006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 планує компанія залучати зовнішніх постачальників послуг? Які фактори враховуються при прийнятті цього рішення?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 були ідентифіковані ризики для процесів, що надаються третьою стороною? Якщо так, то які?</w:t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Які заходи вживаються для управління цими ризиками?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Як часто відбуваються/можуть відбуватися значні зміни у діяльності 3ї сторони щодо послуг, які надаються Банку? Як Банк дізнаватиметься про них? Як буде здійснюватися комунікація між Банком та третьою стороною в разі проведення значної зміни?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widowControl w:val="0"/>
        <w:spacing w:before="51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__________________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Посада                                                                                                 печатка       підпис                                                 ПІБ</w:t>
      </w:r>
    </w:p>
    <w:p w:rsidR="00000000" w:rsidDel="00000000" w:rsidP="00000000" w:rsidRDefault="00000000" w:rsidRPr="00000000" w14:paraId="0000006D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Додаток 2</w:t>
      </w:r>
    </w:p>
    <w:p w:rsidR="00000000" w:rsidDel="00000000" w:rsidP="00000000" w:rsidRDefault="00000000" w:rsidRPr="00000000" w14:paraId="0000009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Оцінювачі ____________________________________</w:t>
      </w:r>
    </w:p>
    <w:p w:rsidR="00000000" w:rsidDel="00000000" w:rsidP="00000000" w:rsidRDefault="00000000" w:rsidRPr="00000000" w14:paraId="00000093">
      <w:pPr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</w:t>
      </w:r>
      <w:r w:rsidDel="00000000" w:rsidR="00000000" w:rsidRPr="00000000">
        <w:rPr>
          <w:sz w:val="16"/>
          <w:szCs w:val="16"/>
          <w:rtl w:val="0"/>
        </w:rPr>
        <w:t xml:space="preserve">назва суб’єкта господарювання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01.2010437913787"/>
        <w:gridCol w:w="3600.0803354718146"/>
        <w:gridCol w:w="2089.4583907836413"/>
        <w:gridCol w:w="2964.7720409767885"/>
        <w:tblGridChange w:id="0">
          <w:tblGrid>
            <w:gridCol w:w="1101.2010437913787"/>
            <w:gridCol w:w="3600.0803354718146"/>
            <w:gridCol w:w="2089.4583907836413"/>
            <w:gridCol w:w="2964.7720409767885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п.п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Посада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Реєстраційний номер облікової картки платника податків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95.0" w:type="dxa"/>
        <w:jc w:val="left"/>
        <w:tblInd w:w="-570.0" w:type="dxa"/>
        <w:tblLayout w:type="fixed"/>
        <w:tblLook w:val="0600"/>
      </w:tblPr>
      <w:tblGrid>
        <w:gridCol w:w="3600"/>
        <w:gridCol w:w="7395"/>
        <w:tblGridChange w:id="0">
          <w:tblGrid>
            <w:gridCol w:w="3600"/>
            <w:gridCol w:w="73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ffffff" w:val="clear"/>
              <w:tabs>
                <w:tab w:val="left" w:leader="none" w:pos="1276"/>
              </w:tabs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highlight w:val="white"/>
                <w:rtl w:val="0"/>
              </w:rPr>
              <w:t xml:space="preserve">“__”  _________  20__р.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ffffff" w:val="clear"/>
              <w:tabs>
                <w:tab w:val="left" w:leader="none" w:pos="1276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highlight w:val="white"/>
                <w:rtl w:val="0"/>
              </w:rPr>
              <w:t xml:space="preserve">_______________________________________________________________________    </w:t>
            </w:r>
            <w:r w:rsidDel="00000000" w:rsidR="00000000" w:rsidRPr="00000000">
              <w:rPr>
                <w:rFonts w:ascii="Tahoma" w:cs="Tahoma" w:eastAsia="Tahoma" w:hAnsi="Tahoma"/>
                <w:sz w:val="12"/>
                <w:szCs w:val="12"/>
                <w:highlight w:val="white"/>
                <w:rtl w:val="0"/>
              </w:rPr>
              <w:t xml:space="preserve">Посада, ПІБ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highlight w:val="white"/>
                <w:rtl w:val="0"/>
              </w:rPr>
              <w:tab/>
            </w:r>
            <w:r w:rsidDel="00000000" w:rsidR="00000000" w:rsidRPr="00000000">
              <w:rPr>
                <w:rFonts w:ascii="Tahoma" w:cs="Tahoma" w:eastAsia="Tahoma" w:hAnsi="Tahoma"/>
                <w:sz w:val="12"/>
                <w:szCs w:val="12"/>
                <w:highlight w:val="white"/>
                <w:rtl w:val="0"/>
              </w:rPr>
              <w:t xml:space="preserve">                     м.п.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Додаток 3</w:t>
      </w:r>
    </w:p>
    <w:p w:rsidR="00000000" w:rsidDel="00000000" w:rsidP="00000000" w:rsidRDefault="00000000" w:rsidRPr="00000000" w14:paraId="000000DE">
      <w:pPr>
        <w:shd w:fill="ffffff" w:val="clear"/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Діючі тарифи суб’єкта оціночної діяльності  __________________________</w:t>
      </w:r>
    </w:p>
    <w:p w:rsidR="00000000" w:rsidDel="00000000" w:rsidP="00000000" w:rsidRDefault="00000000" w:rsidRPr="00000000" w14:paraId="000000DF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Дата_________________   </w:t>
      </w:r>
    </w:p>
    <w:tbl>
      <w:tblPr>
        <w:tblStyle w:val="Table4"/>
        <w:tblW w:w="9749.0" w:type="dxa"/>
        <w:jc w:val="left"/>
        <w:tblLayout w:type="fixed"/>
        <w:tblLook w:val="0400"/>
      </w:tblPr>
      <w:tblGrid>
        <w:gridCol w:w="605"/>
        <w:gridCol w:w="5060"/>
        <w:gridCol w:w="2268"/>
        <w:gridCol w:w="1780"/>
        <w:gridCol w:w="36"/>
        <w:tblGridChange w:id="0">
          <w:tblGrid>
            <w:gridCol w:w="605"/>
            <w:gridCol w:w="5060"/>
            <w:gridCol w:w="2268"/>
            <w:gridCol w:w="1780"/>
            <w:gridCol w:w="36"/>
          </w:tblGrid>
        </w:tblGridChange>
      </w:tblGrid>
      <w:tr>
        <w:trPr>
          <w:cantSplit w:val="0"/>
          <w:trHeight w:val="39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№ з/п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Найменування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Вартість проведення оцінки, грн.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з ПДВ/без ПДВ*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т.ч. вартість моніторингу, грн.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з ПДВ/без ПДВ*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Квартири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Житлові будинки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Земельні ділянки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4 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Нерухомість, в т.ч, з площею: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до 200 кв.м.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від 200-1500 кв.м.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більше 1500 кв.м.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Транспорт, в т.ч.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легкові авто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вантажні та інші транспортні засоби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самохідна с/г техніка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з/д транспорт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С/г обладнання причіпне/навісне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Обладнання (промислове та інш.)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Товари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* - у разі, якщо СОД платник ПДВ, згідно з чинним законодавством України - вказати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 “з ПДВ”.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240" w:lineRule="auto"/>
        <w:ind w:left="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Якщо СОД не платник ПДВ - вказати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 “без ПДВ”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__________________</w:t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Посада                                                                                                 печатка       підпис                                                 ПІБ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7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