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pBdr>
        <w:shd w:fill="ffffff" w:val="clear"/>
        <w:spacing w:line="360" w:lineRule="auto"/>
        <w:ind w:left="720" w:firstLine="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Кваліфікаційні та інші вимоги до аутсорсерів</w:t>
      </w:r>
      <w:r w:rsidDel="00000000" w:rsidR="00000000" w:rsidRPr="00000000">
        <w:rPr>
          <w:rtl w:val="0"/>
        </w:rPr>
      </w:r>
    </w:p>
    <w:tbl>
      <w:tblPr>
        <w:tblStyle w:val="Table1"/>
        <w:tblW w:w="10935.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0"/>
        <w:gridCol w:w="8640"/>
        <w:gridCol w:w="1755"/>
        <w:tblGridChange w:id="0">
          <w:tblGrid>
            <w:gridCol w:w="540"/>
            <w:gridCol w:w="8640"/>
            <w:gridCol w:w="1755"/>
          </w:tblGrid>
        </w:tblGridChange>
      </w:tblGrid>
      <w:tr>
        <w:trPr>
          <w:cantSplit w:val="0"/>
          <w:tblHeader w:val="0"/>
        </w:trPr>
        <w:tc>
          <w:tcPr>
            <w:vAlign w:val="center"/>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t>
            </w:r>
          </w:p>
        </w:tc>
        <w:tc>
          <w:tcPr>
            <w:vAlign w:val="center"/>
          </w:tcPr>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Вимоги</w:t>
            </w:r>
            <w:r w:rsidDel="00000000" w:rsidR="00000000" w:rsidRPr="00000000">
              <w:rPr>
                <w:rtl w:val="0"/>
              </w:rPr>
            </w:r>
          </w:p>
        </w:tc>
        <w:tc>
          <w:tcPr>
            <w:vAlign w:val="center"/>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Відповідність  вимогам (вказати так/ні)</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w:t>
            </w:r>
          </w:p>
        </w:tc>
        <w:tc>
          <w:tcPr>
            <w:vAlign w:val="center"/>
          </w:tcPr>
          <w:p w:rsidR="00000000" w:rsidDel="00000000" w:rsidP="00000000" w:rsidRDefault="00000000" w:rsidRPr="00000000" w14:paraId="00000006">
            <w:pPr>
              <w:spacing w:line="276" w:lineRule="auto"/>
              <w:ind w:right="67.79527559055111" w:firstLine="141"/>
              <w:jc w:val="both"/>
              <w:rPr>
                <w:rFonts w:ascii="Times New Roman" w:cs="Times New Roman" w:eastAsia="Times New Roman" w:hAnsi="Times New Roman"/>
                <w:b w:val="1"/>
                <w:bCs w:val="1"/>
                <w:sz w:val="24"/>
                <w:szCs w:val="24"/>
                <w:highlight w:val="white"/>
              </w:rPr>
            </w:pPr>
            <w:r w:rsidDel="00000000" w:rsidR="00000000" w:rsidRPr="00000000">
              <w:rPr>
                <w:rFonts w:ascii="Times" w:cs="Times" w:eastAsia="Times" w:hAnsi="Times"/>
                <w:sz w:val="24"/>
                <w:szCs w:val="24"/>
                <w:rtl w:val="0"/>
              </w:rPr>
              <w:t xml:space="preserve">Практичний досвід аутсорсера не менше 1 року проведення перевірок наявності та стану заставного майна банків</w:t>
            </w:r>
            <w:r w:rsidDel="00000000" w:rsidR="00000000" w:rsidRPr="00000000">
              <w:rPr>
                <w:rtl w:val="0"/>
              </w:rPr>
            </w:r>
          </w:p>
        </w:tc>
        <w:tc>
          <w:tcPr>
            <w:vAlign w:val="center"/>
          </w:tcPr>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p>
        </w:tc>
        <w:tc>
          <w:tcPr>
            <w:vAlign w:val="center"/>
          </w:tcPr>
          <w:p w:rsidR="00000000" w:rsidDel="00000000" w:rsidP="00000000" w:rsidRDefault="00000000" w:rsidRPr="00000000" w14:paraId="00000009">
            <w:pPr>
              <w:shd w:fill="ffffff" w:val="clear"/>
              <w:spacing w:line="276" w:lineRule="auto"/>
              <w:ind w:right="67.79527559055111" w:firstLine="141"/>
              <w:jc w:val="both"/>
              <w:rPr>
                <w:rFonts w:ascii="Times New Roman" w:cs="Times New Roman" w:eastAsia="Times New Roman" w:hAnsi="Times New Roman"/>
                <w:b w:val="1"/>
                <w:bCs w:val="1"/>
                <w:sz w:val="24"/>
                <w:szCs w:val="24"/>
                <w:highlight w:val="white"/>
              </w:rPr>
            </w:pPr>
            <w:r w:rsidDel="00000000" w:rsidR="00000000" w:rsidRPr="00000000">
              <w:rPr>
                <w:rFonts w:ascii="Times" w:cs="Times" w:eastAsia="Times" w:hAnsi="Times"/>
                <w:sz w:val="24"/>
                <w:szCs w:val="24"/>
                <w:rtl w:val="0"/>
              </w:rPr>
              <w:t xml:space="preserve">Наявність у аутсорсера рекомендаційних листів попередніх замовників послуг/договорів, що підтверджують досвід надання послуг з аутсорсингу щонайменше 1-му банку</w:t>
            </w:r>
            <w:r w:rsidDel="00000000" w:rsidR="00000000" w:rsidRPr="00000000">
              <w:rPr>
                <w:rtl w:val="0"/>
              </w:rPr>
            </w:r>
          </w:p>
        </w:tc>
        <w:tc>
          <w:tcPr>
            <w:vAlign w:val="center"/>
          </w:tcPr>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w:t>
            </w:r>
          </w:p>
        </w:tc>
        <w:tc>
          <w:tcPr>
            <w:vAlign w:val="top"/>
          </w:tcPr>
          <w:p w:rsidR="00000000" w:rsidDel="00000000" w:rsidP="00000000" w:rsidRDefault="00000000" w:rsidRPr="00000000" w14:paraId="0000000C">
            <w:pPr>
              <w:shd w:fill="ffffff" w:val="clear"/>
              <w:spacing w:line="276" w:lineRule="auto"/>
              <w:ind w:right="67.79527559055111" w:firstLine="141"/>
              <w:jc w:val="both"/>
              <w:rPr>
                <w:rFonts w:ascii="Times New Roman" w:cs="Times New Roman" w:eastAsia="Times New Roman" w:hAnsi="Times New Roman"/>
                <w:sz w:val="24"/>
                <w:szCs w:val="24"/>
                <w:highlight w:val="white"/>
              </w:rPr>
            </w:pPr>
            <w:r w:rsidDel="00000000" w:rsidR="00000000" w:rsidRPr="00000000">
              <w:rPr>
                <w:rFonts w:ascii="Times" w:cs="Times" w:eastAsia="Times" w:hAnsi="Times"/>
                <w:sz w:val="24"/>
                <w:szCs w:val="24"/>
                <w:rtl w:val="0"/>
              </w:rPr>
              <w:t xml:space="preserve">Наявність у штаті аутсорсера або таких, які надають йому послуги за договорами цивільно-правового характеру або субпідряду, щонайменше 12 (дванадцяти) співробітників, що можуть здійснювати огляди майна</w:t>
            </w:r>
            <w:r w:rsidDel="00000000" w:rsidR="00000000" w:rsidRPr="00000000">
              <w:rPr>
                <w:rtl w:val="0"/>
              </w:rPr>
            </w:r>
          </w:p>
        </w:tc>
        <w:tc>
          <w:tcPr>
            <w:vAlign w:val="center"/>
          </w:tcPr>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w:t>
            </w:r>
          </w:p>
        </w:tc>
        <w:tc>
          <w:tcPr>
            <w:vAlign w:val="top"/>
          </w:tcPr>
          <w:p w:rsidR="00000000" w:rsidDel="00000000" w:rsidP="00000000" w:rsidRDefault="00000000" w:rsidRPr="00000000" w14:paraId="0000000F">
            <w:pPr>
              <w:spacing w:line="276" w:lineRule="auto"/>
              <w:ind w:right="67.79527559055111" w:firstLine="141"/>
              <w:jc w:val="both"/>
              <w:rPr>
                <w:rFonts w:ascii="Times New Roman" w:cs="Times New Roman" w:eastAsia="Times New Roman" w:hAnsi="Times New Roman"/>
                <w:sz w:val="24"/>
                <w:szCs w:val="24"/>
                <w:highlight w:val="white"/>
              </w:rPr>
            </w:pPr>
            <w:r w:rsidDel="00000000" w:rsidR="00000000" w:rsidRPr="00000000">
              <w:rPr>
                <w:rFonts w:ascii="Times" w:cs="Times" w:eastAsia="Times" w:hAnsi="Times"/>
                <w:sz w:val="24"/>
                <w:szCs w:val="24"/>
                <w:rtl w:val="0"/>
              </w:rPr>
              <w:t xml:space="preserve">Аутсорсер, що має намір бути акредитованим у Банку, не може бути пов’язаним через керівництво, власників чи кінцевих бенефіціарних власників з будь-яким СОД/Аутсорсером, що вже має акредитацію в Банку</w:t>
            </w:r>
            <w:r w:rsidDel="00000000" w:rsidR="00000000" w:rsidRPr="00000000">
              <w:rPr>
                <w:rtl w:val="0"/>
              </w:rPr>
            </w:r>
          </w:p>
        </w:tc>
        <w:tc>
          <w:tcPr>
            <w:vAlign w:val="center"/>
          </w:tcPr>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4</w:t>
            </w:r>
          </w:p>
        </w:tc>
        <w:tc>
          <w:tcPr>
            <w:vAlign w:val="top"/>
          </w:tcPr>
          <w:p w:rsidR="00000000" w:rsidDel="00000000" w:rsidP="00000000" w:rsidRDefault="00000000" w:rsidRPr="00000000" w14:paraId="00000012">
            <w:pPr>
              <w:spacing w:line="276" w:lineRule="auto"/>
              <w:ind w:right="67.79527559055111" w:firstLine="141"/>
              <w:jc w:val="both"/>
              <w:rPr>
                <w:rFonts w:ascii="Times New Roman" w:cs="Times New Roman" w:eastAsia="Times New Roman" w:hAnsi="Times New Roman"/>
                <w:sz w:val="24"/>
                <w:szCs w:val="24"/>
                <w:highlight w:val="white"/>
              </w:rPr>
            </w:pPr>
            <w:r w:rsidDel="00000000" w:rsidR="00000000" w:rsidRPr="00000000">
              <w:rPr>
                <w:rFonts w:ascii="Times" w:cs="Times" w:eastAsia="Times" w:hAnsi="Times"/>
                <w:sz w:val="24"/>
                <w:szCs w:val="24"/>
                <w:rtl w:val="0"/>
              </w:rPr>
              <w:t xml:space="preserve">Керівництво, власники та кінцеві бенефіціарні власники Аутсорсера не можуть бути працівниками, керівниками Банку та\або їх близькими особами, та\або юридичною особо (афілійованою), пов'язаною з такими фізичними особами через володіння ними істотною участю в таких юридичних особах або незалежно від формального володіння можливість значного впливу на управління чи діяльність такої юридичної особи, при цьому особа визнається власником опосередкованої істотної участі незалежно від того, чи здійснює така особа контроль прямого власника участі в юридичній особі або контроль будь-якої іншої особи в ланцюгу володіння корпоративними правами такої юридичної особи.</w:t>
            </w:r>
            <w:r w:rsidDel="00000000" w:rsidR="00000000" w:rsidRPr="00000000">
              <w:rPr>
                <w:rtl w:val="0"/>
              </w:rPr>
            </w:r>
          </w:p>
        </w:tc>
        <w:tc>
          <w:tcPr>
            <w:vAlign w:val="center"/>
          </w:tcPr>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5</w:t>
            </w:r>
          </w:p>
        </w:tc>
        <w:tc>
          <w:tcPr>
            <w:vAlign w:val="top"/>
          </w:tcPr>
          <w:p w:rsidR="00000000" w:rsidDel="00000000" w:rsidP="00000000" w:rsidRDefault="00000000" w:rsidRPr="00000000" w14:paraId="00000015">
            <w:pPr>
              <w:spacing w:line="276" w:lineRule="auto"/>
              <w:ind w:right="67.79527559055111" w:firstLine="141"/>
              <w:jc w:val="both"/>
              <w:rPr>
                <w:rFonts w:ascii="Times New Roman" w:cs="Times New Roman" w:eastAsia="Times New Roman" w:hAnsi="Times New Roman"/>
                <w:sz w:val="24"/>
                <w:szCs w:val="24"/>
                <w:highlight w:val="white"/>
              </w:rPr>
            </w:pPr>
            <w:r w:rsidDel="00000000" w:rsidR="00000000" w:rsidRPr="00000000">
              <w:rPr>
                <w:rFonts w:ascii="Times" w:cs="Times" w:eastAsia="Times" w:hAnsi="Times"/>
                <w:sz w:val="24"/>
                <w:szCs w:val="24"/>
                <w:rtl w:val="0"/>
              </w:rPr>
              <w:t xml:space="preserve">Аутсорсер повинен мати можливість забезпечити безперервність діяльності у разі втрати централізованого електропостачання (наявність приладів, що можуть забезпечити безперебійне електроживлення: генератори, джерела автономного живлення, павербанки, зарядні станції, акумулятори) протягом 1 робочого дня від моменту такої втрати.</w:t>
            </w:r>
            <w:r w:rsidDel="00000000" w:rsidR="00000000" w:rsidRPr="00000000">
              <w:rPr>
                <w:rtl w:val="0"/>
              </w:rPr>
            </w:r>
          </w:p>
        </w:tc>
        <w:tc>
          <w:tcPr>
            <w:vAlign w:val="center"/>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w:t>
            </w:r>
          </w:p>
        </w:tc>
        <w:tc>
          <w:tcPr>
            <w:vAlign w:val="top"/>
          </w:tcPr>
          <w:p w:rsidR="00000000" w:rsidDel="00000000" w:rsidP="00000000" w:rsidRDefault="00000000" w:rsidRPr="00000000" w14:paraId="00000018">
            <w:pPr>
              <w:spacing w:line="276" w:lineRule="auto"/>
              <w:ind w:right="67.79527559055111" w:firstLine="141"/>
              <w:jc w:val="both"/>
              <w:rPr>
                <w:rFonts w:ascii="Times New Roman" w:cs="Times New Roman" w:eastAsia="Times New Roman" w:hAnsi="Times New Roman"/>
                <w:sz w:val="24"/>
                <w:szCs w:val="24"/>
                <w:highlight w:val="white"/>
              </w:rPr>
            </w:pPr>
            <w:r w:rsidDel="00000000" w:rsidR="00000000" w:rsidRPr="00000000">
              <w:rPr>
                <w:rFonts w:ascii="Times" w:cs="Times" w:eastAsia="Times" w:hAnsi="Times"/>
                <w:sz w:val="24"/>
                <w:szCs w:val="24"/>
                <w:rtl w:val="0"/>
              </w:rPr>
              <w:t xml:space="preserve">Аутсорсер повинен мати можливість забезпечити безперервність діяльності у разі відсутності постійного доступу до засобів зв’язку та мережі інтернет (наявність супутникового інтернету/резервних лінії інтернету/ пасивні технології оптичних мереж доступу тощо).</w:t>
            </w:r>
            <w:r w:rsidDel="00000000" w:rsidR="00000000" w:rsidRPr="00000000">
              <w:rPr>
                <w:rtl w:val="0"/>
              </w:rPr>
            </w:r>
          </w:p>
        </w:tc>
        <w:tc>
          <w:tcPr>
            <w:vAlign w:val="center"/>
          </w:tcPr>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7</w:t>
            </w:r>
          </w:p>
        </w:tc>
        <w:tc>
          <w:tcPr>
            <w:vAlign w:val="top"/>
          </w:tcPr>
          <w:p w:rsidR="00000000" w:rsidDel="00000000" w:rsidP="00000000" w:rsidRDefault="00000000" w:rsidRPr="00000000" w14:paraId="0000001B">
            <w:pPr>
              <w:spacing w:line="276" w:lineRule="auto"/>
              <w:ind w:right="67.79527559055111" w:firstLine="141"/>
              <w:jc w:val="both"/>
              <w:rPr>
                <w:rFonts w:ascii="Times New Roman" w:cs="Times New Roman" w:eastAsia="Times New Roman" w:hAnsi="Times New Roman"/>
                <w:sz w:val="24"/>
                <w:szCs w:val="24"/>
                <w:highlight w:val="white"/>
              </w:rPr>
            </w:pPr>
            <w:r w:rsidDel="00000000" w:rsidR="00000000" w:rsidRPr="00000000">
              <w:rPr>
                <w:rFonts w:ascii="Times" w:cs="Times" w:eastAsia="Times" w:hAnsi="Times"/>
                <w:sz w:val="24"/>
                <w:szCs w:val="24"/>
                <w:rtl w:val="0"/>
              </w:rPr>
              <w:t xml:space="preserve">Аутсорсер повинен мати можливість виконувати по плановому моніторингу мінімум 200 оглядів на місяць (у випадку, якщо він акредитований виключно як Аутсорсер) та 100 оглядів на місяць (у випадку, якщо він акредитований як СОД).</w:t>
            </w:r>
            <w:r w:rsidDel="00000000" w:rsidR="00000000" w:rsidRPr="00000000">
              <w:rPr>
                <w:rtl w:val="0"/>
              </w:rPr>
            </w:r>
          </w:p>
        </w:tc>
        <w:tc>
          <w:tcPr>
            <w:vAlign w:val="center"/>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w:t>
            </w:r>
          </w:p>
        </w:tc>
        <w:tc>
          <w:tcPr>
            <w:vAlign w:val="top"/>
          </w:tcPr>
          <w:p w:rsidR="00000000" w:rsidDel="00000000" w:rsidP="00000000" w:rsidRDefault="00000000" w:rsidRPr="00000000" w14:paraId="0000001E">
            <w:pPr>
              <w:spacing w:line="276" w:lineRule="auto"/>
              <w:ind w:right="67.79527559055111" w:firstLine="141"/>
              <w:jc w:val="both"/>
              <w:rPr>
                <w:rFonts w:ascii="Times New Roman" w:cs="Times New Roman" w:eastAsia="Times New Roman" w:hAnsi="Times New Roman"/>
                <w:sz w:val="24"/>
                <w:szCs w:val="24"/>
                <w:highlight w:val="white"/>
              </w:rPr>
            </w:pPr>
            <w:r w:rsidDel="00000000" w:rsidR="00000000" w:rsidRPr="00000000">
              <w:rPr>
                <w:rFonts w:ascii="Times" w:cs="Times" w:eastAsia="Times" w:hAnsi="Times"/>
                <w:sz w:val="24"/>
                <w:szCs w:val="24"/>
                <w:rtl w:val="0"/>
              </w:rPr>
              <w:t xml:space="preserve">Аутсорсер повинен мати основним видом діяльності послуги, пов’язані з консалтингом чи роботою з майном (мінімум одне з переліченого): оцінка, страхування, стягнення проблемної заборгованості, сюрвей, технічна інвентаризація нерухомості, землевпорядні роботи, інспекційні послуги, інша професійна, наукова та технічна діяльність.</w:t>
            </w:r>
            <w:r w:rsidDel="00000000" w:rsidR="00000000" w:rsidRPr="00000000">
              <w:rPr>
                <w:rtl w:val="0"/>
              </w:rPr>
            </w:r>
          </w:p>
        </w:tc>
        <w:tc>
          <w:tcPr>
            <w:vAlign w:val="center"/>
          </w:tcPr>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spacing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tc>
      </w:tr>
    </w:tbl>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shd w:fill="ffffff" w:val="clear"/>
        <w:tabs>
          <w:tab w:val="left" w:leader="none" w:pos="1276"/>
        </w:tabs>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1">
      <w:pPr>
        <w:spacing w:line="276" w:lineRule="auto"/>
        <w:ind w:right="-324" w:firstLine="141"/>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shd w:fill="ffffff" w:val="clear"/>
        <w:spacing w:line="276" w:lineRule="auto"/>
        <w:jc w:val="right"/>
        <w:rPr>
          <w:rFonts w:ascii="Times New Roman" w:cs="Times New Roman" w:eastAsia="Times New Roman" w:hAnsi="Times New Roman"/>
          <w:sz w:val="24"/>
          <w:szCs w:val="24"/>
          <w:highlight w:val="white"/>
        </w:rPr>
      </w:pPr>
      <w:r w:rsidDel="00000000" w:rsidR="00000000" w:rsidRPr="00000000">
        <w:rPr>
          <w:rtl w:val="0"/>
        </w:rPr>
      </w:r>
    </w:p>
    <w:tbl>
      <w:tblPr>
        <w:tblStyle w:val="Table2"/>
        <w:tblW w:w="10980.0" w:type="dxa"/>
        <w:jc w:val="left"/>
        <w:tblInd w:w="-555.0" w:type="dxa"/>
        <w:tblLayout w:type="fixed"/>
        <w:tblLook w:val="0600"/>
      </w:tblPr>
      <w:tblGrid>
        <w:gridCol w:w="3585"/>
        <w:gridCol w:w="7395"/>
        <w:tblGridChange w:id="0">
          <w:tblGrid>
            <w:gridCol w:w="3585"/>
            <w:gridCol w:w="73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shd w:fill="ffffff" w:val="clear"/>
              <w:tabs>
                <w:tab w:val="left" w:leader="none" w:pos="1276"/>
              </w:tabs>
              <w:spacing w:line="276" w:lineRule="auto"/>
              <w:rPr>
                <w:rFonts w:ascii="Times New Roman" w:cs="Times New Roman" w:eastAsia="Times New Roman" w:hAnsi="Times New Roman"/>
                <w:sz w:val="24"/>
                <w:szCs w:val="24"/>
                <w:highlight w:val="white"/>
              </w:rPr>
            </w:pPr>
            <w:r w:rsidDel="00000000" w:rsidR="00000000" w:rsidRPr="00000000">
              <w:rPr>
                <w:rFonts w:ascii="Tahoma" w:cs="Tahoma" w:eastAsia="Tahoma" w:hAnsi="Tahoma"/>
                <w:sz w:val="24"/>
                <w:szCs w:val="24"/>
                <w:highlight w:val="white"/>
                <w:rtl w:val="0"/>
              </w:rPr>
              <w:t xml:space="preserve">“__”  _________  20__р.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shd w:fill="ffffff" w:val="clea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Ознайомлений:</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shd w:fill="ffffff" w:val="clear"/>
              <w:tabs>
                <w:tab w:val="left" w:leader="none" w:pos="1276"/>
              </w:tabs>
              <w:spacing w:line="240" w:lineRule="auto"/>
              <w:jc w:val="center"/>
              <w:rPr>
                <w:rFonts w:ascii="Times New Roman" w:cs="Times New Roman" w:eastAsia="Times New Roman" w:hAnsi="Times New Roman"/>
                <w:sz w:val="24"/>
                <w:szCs w:val="24"/>
                <w:highlight w:val="white"/>
              </w:rPr>
            </w:pPr>
            <w:r w:rsidDel="00000000" w:rsidR="00000000" w:rsidRPr="00000000">
              <w:rPr>
                <w:rFonts w:ascii="Tahoma" w:cs="Tahoma" w:eastAsia="Tahoma" w:hAnsi="Tahoma"/>
                <w:sz w:val="18"/>
                <w:szCs w:val="18"/>
                <w:highlight w:val="white"/>
                <w:rtl w:val="0"/>
              </w:rPr>
              <w:t xml:space="preserve">____________________________________________________________________    </w:t>
            </w:r>
            <w:r w:rsidDel="00000000" w:rsidR="00000000" w:rsidRPr="00000000">
              <w:rPr>
                <w:rFonts w:ascii="Tahoma" w:cs="Tahoma" w:eastAsia="Tahoma" w:hAnsi="Tahoma"/>
                <w:sz w:val="12"/>
                <w:szCs w:val="12"/>
                <w:highlight w:val="white"/>
                <w:rtl w:val="0"/>
              </w:rPr>
              <w:t xml:space="preserve">Посада, ПІБ</w:t>
            </w:r>
            <w:r w:rsidDel="00000000" w:rsidR="00000000" w:rsidRPr="00000000">
              <w:rPr>
                <w:rFonts w:ascii="Tahoma" w:cs="Tahoma" w:eastAsia="Tahoma" w:hAnsi="Tahoma"/>
                <w:sz w:val="18"/>
                <w:szCs w:val="18"/>
                <w:highlight w:val="white"/>
                <w:rtl w:val="0"/>
              </w:rPr>
              <w:tab/>
            </w:r>
            <w:r w:rsidDel="00000000" w:rsidR="00000000" w:rsidRPr="00000000">
              <w:rPr>
                <w:rFonts w:ascii="Tahoma" w:cs="Tahoma" w:eastAsia="Tahoma" w:hAnsi="Tahoma"/>
                <w:sz w:val="12"/>
                <w:szCs w:val="12"/>
                <w:highlight w:val="white"/>
                <w:rtl w:val="0"/>
              </w:rPr>
              <w:t xml:space="preserve">                     м.п.</w:t>
            </w:r>
            <w:r w:rsidDel="00000000" w:rsidR="00000000" w:rsidRPr="00000000">
              <w:rPr>
                <w:rtl w:val="0"/>
              </w:rPr>
            </w:r>
          </w:p>
        </w:tc>
      </w:tr>
    </w:tbl>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shd w:fill="ffffff" w:val="clear"/>
        <w:spacing w:line="276" w:lineRule="auto"/>
        <w:jc w:val="righ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7">
      <w:pPr>
        <w:spacing w:line="276" w:lineRule="auto"/>
        <w:ind w:right="-324" w:firstLine="141"/>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28">
      <w:pPr>
        <w:spacing w:line="276" w:lineRule="auto"/>
        <w:ind w:left="0" w:right="-324" w:firstLine="0"/>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ahoma">
    <w:embedRegular w:fontKey="{00000000-0000-0000-0000-000000000000}" r:id="rId1" w:subsetted="0"/>
    <w:embedBold w:fontKey="{00000000-0000-0000-0000-000000000000}" r:id="rId2"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