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360" w:lineRule="auto"/>
        <w:ind w:left="72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Кваліфікаційні та інші вимоги до суб'єктів оціночної діяльності </w:t>
      </w:r>
      <w:r w:rsidDel="00000000" w:rsidR="00000000" w:rsidRPr="00000000">
        <w:rPr>
          <w:rtl w:val="0"/>
        </w:rPr>
      </w:r>
    </w:p>
    <w:tbl>
      <w:tblPr>
        <w:tblStyle w:val="Table1"/>
        <w:tblW w:w="10875.0" w:type="dxa"/>
        <w:jc w:val="left"/>
        <w:tblInd w:w="-4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0"/>
        <w:gridCol w:w="8655"/>
        <w:gridCol w:w="1710"/>
        <w:tblGridChange w:id="0">
          <w:tblGrid>
            <w:gridCol w:w="510"/>
            <w:gridCol w:w="8655"/>
            <w:gridCol w:w="1710"/>
          </w:tblGrid>
        </w:tblGridChange>
      </w:tblGrid>
      <w:tr>
        <w:trPr>
          <w:cantSplit w:val="0"/>
          <w:tblHeader w:val="0"/>
        </w:trPr>
        <w:tc>
          <w:tcPr>
            <w:vAlign w:val="center"/>
          </w:tcPr>
          <w:p w:rsidR="00000000" w:rsidDel="00000000" w:rsidP="00000000" w:rsidRDefault="00000000" w:rsidRPr="00000000" w14:paraId="00000002">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i w:val="0"/>
                <w:iCs w:val="0"/>
                <w:smallCaps w:val="0"/>
                <w:strike w:val="0"/>
                <w:color w:val="000000"/>
                <w:sz w:val="24"/>
                <w:szCs w:val="24"/>
                <w:highlight w:val="white"/>
                <w:u w:val="none"/>
                <w:vertAlign w:val="baseline"/>
              </w:rPr>
            </w:pPr>
            <w:r w:rsidDel="00000000" w:rsidR="00000000" w:rsidRPr="00000000">
              <w:rPr>
                <w:sz w:val="24"/>
                <w:szCs w:val="24"/>
                <w:highlight w:val="white"/>
                <w:rtl w:val="0"/>
              </w:rPr>
              <w:t xml:space="preserve">№</w:t>
            </w:r>
            <w:r w:rsidDel="00000000" w:rsidR="00000000" w:rsidRPr="00000000">
              <w:rPr>
                <w:rtl w:val="0"/>
              </w:rPr>
            </w:r>
          </w:p>
        </w:tc>
        <w:tc>
          <w:tcPr>
            <w:vAlign w:val="center"/>
          </w:tcPr>
          <w:p w:rsidR="00000000" w:rsidDel="00000000" w:rsidP="00000000" w:rsidRDefault="00000000" w:rsidRPr="00000000" w14:paraId="00000003">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i w:val="0"/>
                <w:iCs w:val="0"/>
                <w:smallCaps w:val="0"/>
                <w:strike w:val="0"/>
                <w:color w:val="000000"/>
                <w:sz w:val="24"/>
                <w:szCs w:val="24"/>
                <w:highlight w:val="white"/>
                <w:u w:val="none"/>
                <w:vertAlign w:val="baseline"/>
              </w:rPr>
            </w:pPr>
            <w:r w:rsidDel="00000000" w:rsidR="00000000" w:rsidRPr="00000000">
              <w:rPr>
                <w:b w:val="1"/>
                <w:bCs w:val="1"/>
                <w:i w:val="0"/>
                <w:iCs w:val="0"/>
                <w:smallCaps w:val="0"/>
                <w:strike w:val="0"/>
                <w:color w:val="000000"/>
                <w:sz w:val="24"/>
                <w:szCs w:val="24"/>
                <w:highlight w:val="white"/>
                <w:u w:val="none"/>
                <w:vertAlign w:val="baseline"/>
                <w:rtl w:val="0"/>
              </w:rPr>
              <w:t xml:space="preserve">Вимоги</w:t>
            </w:r>
            <w:r w:rsidDel="00000000" w:rsidR="00000000" w:rsidRPr="00000000">
              <w:rPr>
                <w:rtl w:val="0"/>
              </w:rPr>
            </w:r>
          </w:p>
        </w:tc>
        <w:tc>
          <w:tcPr>
            <w:vAlign w:val="center"/>
          </w:tcPr>
          <w:p w:rsidR="00000000" w:rsidDel="00000000" w:rsidP="00000000" w:rsidRDefault="00000000" w:rsidRPr="00000000" w14:paraId="00000004">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i w:val="0"/>
                <w:iCs w:val="0"/>
                <w:smallCaps w:val="0"/>
                <w:strike w:val="0"/>
                <w:color w:val="000000"/>
                <w:sz w:val="24"/>
                <w:szCs w:val="24"/>
                <w:highlight w:val="white"/>
                <w:u w:val="none"/>
                <w:vertAlign w:val="baseline"/>
              </w:rPr>
            </w:pPr>
            <w:r w:rsidDel="00000000" w:rsidR="00000000" w:rsidRPr="00000000">
              <w:rPr>
                <w:b w:val="1"/>
                <w:bCs w:val="1"/>
                <w:i w:val="0"/>
                <w:iCs w:val="0"/>
                <w:smallCaps w:val="0"/>
                <w:strike w:val="0"/>
                <w:color w:val="000000"/>
                <w:sz w:val="24"/>
                <w:szCs w:val="24"/>
                <w:highlight w:val="white"/>
                <w:u w:val="none"/>
                <w:vertAlign w:val="baseline"/>
                <w:rtl w:val="0"/>
              </w:rPr>
              <w:t xml:space="preserve">Відповідність  вимогам (вказати так/ні)</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5">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i w:val="0"/>
                <w:iCs w:val="0"/>
                <w:smallCaps w:val="0"/>
                <w:strike w:val="0"/>
                <w:color w:val="000000"/>
                <w:sz w:val="24"/>
                <w:szCs w:val="24"/>
                <w:highlight w:val="white"/>
                <w:u w:val="none"/>
                <w:vertAlign w:val="baseline"/>
              </w:rPr>
            </w:pPr>
            <w:r w:rsidDel="00000000" w:rsidR="00000000" w:rsidRPr="00000000">
              <w:rPr>
                <w:sz w:val="24"/>
                <w:szCs w:val="24"/>
                <w:highlight w:val="white"/>
                <w:rtl w:val="0"/>
              </w:rPr>
              <w:t xml:space="preserve">1</w:t>
            </w:r>
            <w:r w:rsidDel="00000000" w:rsidR="00000000" w:rsidRPr="00000000">
              <w:rPr>
                <w:rtl w:val="0"/>
              </w:rPr>
            </w:r>
          </w:p>
        </w:tc>
        <w:tc>
          <w:tcPr>
            <w:vAlign w:val="center"/>
          </w:tcPr>
          <w:p w:rsidR="00000000" w:rsidDel="00000000" w:rsidP="00000000" w:rsidRDefault="00000000" w:rsidRPr="00000000" w14:paraId="00000006">
            <w:pPr>
              <w:spacing w:line="276" w:lineRule="auto"/>
              <w:ind w:right="0" w:firstLine="141"/>
              <w:jc w:val="both"/>
              <w:rPr>
                <w:b w:val="1"/>
                <w:bCs w:val="1"/>
                <w:i w:val="0"/>
                <w:iCs w:val="0"/>
                <w:smallCaps w:val="0"/>
                <w:strike w:val="0"/>
                <w:color w:val="000000"/>
                <w:sz w:val="24"/>
                <w:szCs w:val="24"/>
                <w:highlight w:val="white"/>
                <w:u w:val="none"/>
                <w:vertAlign w:val="baseline"/>
              </w:rPr>
            </w:pPr>
            <w:r w:rsidDel="00000000" w:rsidR="00000000" w:rsidRPr="00000000">
              <w:rPr>
                <w:sz w:val="24"/>
                <w:szCs w:val="24"/>
                <w:rtl w:val="0"/>
              </w:rPr>
              <w:t xml:space="preserve">С</w:t>
            </w:r>
            <w:r w:rsidDel="00000000" w:rsidR="00000000" w:rsidRPr="00000000">
              <w:rPr>
                <w:sz w:val="24"/>
                <w:szCs w:val="24"/>
                <w:highlight w:val="white"/>
                <w:rtl w:val="0"/>
              </w:rPr>
              <w:t xml:space="preserve">уб'єкта оціночної діяльності (надалі СОД)</w:t>
            </w:r>
            <w:r w:rsidDel="00000000" w:rsidR="00000000" w:rsidRPr="00000000">
              <w:rPr>
                <w:sz w:val="24"/>
                <w:szCs w:val="24"/>
                <w:rtl w:val="0"/>
              </w:rPr>
              <w:t xml:space="preserve"> включений до Державного реєстру оцінювачів та суб'єктів оціночної діяльності</w:t>
            </w:r>
            <w:r w:rsidDel="00000000" w:rsidR="00000000" w:rsidRPr="00000000">
              <w:rPr>
                <w:rtl w:val="0"/>
              </w:rPr>
            </w:r>
          </w:p>
        </w:tc>
        <w:tc>
          <w:tcPr>
            <w:vAlign w:val="center"/>
          </w:tcPr>
          <w:p w:rsidR="00000000" w:rsidDel="00000000" w:rsidP="00000000" w:rsidRDefault="00000000" w:rsidRPr="00000000" w14:paraId="00000007">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bCs w:val="1"/>
                <w:i w:val="0"/>
                <w:iCs w:val="0"/>
                <w:smallCaps w:val="0"/>
                <w:strike w:val="0"/>
                <w:color w:val="000000"/>
                <w:sz w:val="24"/>
                <w:szCs w:val="24"/>
                <w:highlight w:val="white"/>
                <w:u w:val="none"/>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08">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i w:val="0"/>
                <w:iCs w:val="0"/>
                <w:smallCaps w:val="0"/>
                <w:strike w:val="0"/>
                <w:color w:val="000000"/>
                <w:sz w:val="24"/>
                <w:szCs w:val="24"/>
                <w:highlight w:val="white"/>
                <w:u w:val="none"/>
                <w:vertAlign w:val="baseline"/>
              </w:rPr>
            </w:pPr>
            <w:r w:rsidDel="00000000" w:rsidR="00000000" w:rsidRPr="00000000">
              <w:rPr>
                <w:sz w:val="24"/>
                <w:szCs w:val="24"/>
                <w:highlight w:val="white"/>
                <w:rtl w:val="0"/>
              </w:rPr>
              <w:t xml:space="preserve">2</w:t>
            </w:r>
            <w:r w:rsidDel="00000000" w:rsidR="00000000" w:rsidRPr="00000000">
              <w:rPr>
                <w:rtl w:val="0"/>
              </w:rPr>
            </w:r>
          </w:p>
        </w:tc>
        <w:tc>
          <w:tcPr>
            <w:vAlign w:val="center"/>
          </w:tcPr>
          <w:p w:rsidR="00000000" w:rsidDel="00000000" w:rsidP="00000000" w:rsidRDefault="00000000" w:rsidRPr="00000000" w14:paraId="00000009">
            <w:pPr>
              <w:spacing w:line="276" w:lineRule="auto"/>
              <w:ind w:right="0" w:firstLine="141"/>
              <w:jc w:val="both"/>
              <w:rPr>
                <w:b w:val="1"/>
                <w:bCs w:val="1"/>
                <w:sz w:val="24"/>
                <w:szCs w:val="24"/>
                <w:highlight w:val="white"/>
              </w:rPr>
            </w:pPr>
            <w:r w:rsidDel="00000000" w:rsidR="00000000" w:rsidRPr="00000000">
              <w:rPr>
                <w:sz w:val="24"/>
                <w:szCs w:val="24"/>
                <w:highlight w:val="white"/>
                <w:rtl w:val="0"/>
              </w:rPr>
              <w:t xml:space="preserve">СОД має чинний</w:t>
            </w:r>
            <w:r w:rsidDel="00000000" w:rsidR="00000000" w:rsidRPr="00000000">
              <w:rPr>
                <w:sz w:val="24"/>
                <w:szCs w:val="24"/>
                <w:rtl w:val="0"/>
              </w:rPr>
              <w:t xml:space="preserve"> чинного сертифіката за напрямами оцінки майна, щодо яких дозволена практична діяльність з оцінки визначених видів забезпечення:</w:t>
            </w:r>
            <w:r w:rsidDel="00000000" w:rsidR="00000000" w:rsidRPr="00000000">
              <w:rPr>
                <w:rtl w:val="0"/>
              </w:rPr>
            </w:r>
          </w:p>
        </w:tc>
        <w:tc>
          <w:tcPr>
            <w:vAlign w:val="center"/>
          </w:tcPr>
          <w:p w:rsidR="00000000" w:rsidDel="00000000" w:rsidP="00000000" w:rsidRDefault="00000000" w:rsidRPr="00000000" w14:paraId="0000000A">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bCs w:val="1"/>
                <w:i w:val="0"/>
                <w:iCs w:val="0"/>
                <w:smallCaps w:val="0"/>
                <w:strike w:val="0"/>
                <w:color w:val="000000"/>
                <w:sz w:val="24"/>
                <w:szCs w:val="24"/>
                <w:highlight w:val="white"/>
                <w:u w:val="none"/>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0B">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i w:val="0"/>
                <w:iCs w:val="0"/>
                <w:smallCaps w:val="0"/>
                <w:strike w:val="0"/>
                <w:color w:val="000000"/>
                <w:sz w:val="24"/>
                <w:szCs w:val="24"/>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00C">
            <w:pPr>
              <w:numPr>
                <w:ilvl w:val="0"/>
                <w:numId w:val="1"/>
              </w:numPr>
              <w:pBdr>
                <w:top w:color="000000" w:space="0" w:sz="0" w:val="none"/>
                <w:left w:color="000000" w:space="0" w:sz="0" w:val="none"/>
                <w:bottom w:color="000000" w:space="0" w:sz="0" w:val="none"/>
                <w:right w:color="000000" w:space="0" w:sz="0" w:val="none"/>
              </w:pBdr>
              <w:shd w:fill="ffffff" w:val="clear"/>
              <w:ind w:left="720" w:right="0" w:hanging="360"/>
              <w:rPr>
                <w:sz w:val="24"/>
                <w:szCs w:val="24"/>
                <w:highlight w:val="white"/>
              </w:rPr>
            </w:pPr>
            <w:r w:rsidDel="00000000" w:rsidR="00000000" w:rsidRPr="00000000">
              <w:rPr>
                <w:sz w:val="24"/>
                <w:szCs w:val="24"/>
                <w:highlight w:val="white"/>
                <w:rtl w:val="0"/>
              </w:rPr>
              <w:t xml:space="preserve">Оцінка об'єктів у матеріальній формі:</w:t>
            </w:r>
          </w:p>
        </w:tc>
        <w:tc>
          <w:tcPr>
            <w:vAlign w:val="center"/>
          </w:tcPr>
          <w:p w:rsidR="00000000" w:rsidDel="00000000" w:rsidP="00000000" w:rsidRDefault="00000000" w:rsidRPr="00000000" w14:paraId="0000000D">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bCs w:val="1"/>
                <w:i w:val="0"/>
                <w:iCs w:val="0"/>
                <w:smallCaps w:val="0"/>
                <w:strike w:val="0"/>
                <w:color w:val="000000"/>
                <w:sz w:val="24"/>
                <w:szCs w:val="24"/>
                <w:highlight w:val="white"/>
                <w:u w:val="none"/>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0E">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i w:val="0"/>
                <w:iCs w:val="0"/>
                <w:smallCaps w:val="0"/>
                <w:strike w:val="0"/>
                <w:color w:val="000000"/>
                <w:sz w:val="24"/>
                <w:szCs w:val="24"/>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shd w:fill="ffffff" w:val="clear"/>
              <w:ind w:right="0"/>
              <w:rPr>
                <w:sz w:val="24"/>
                <w:szCs w:val="24"/>
                <w:highlight w:val="white"/>
              </w:rPr>
            </w:pPr>
            <w:r w:rsidDel="00000000" w:rsidR="00000000" w:rsidRPr="00000000">
              <w:rPr>
                <w:sz w:val="24"/>
                <w:szCs w:val="24"/>
                <w:highlight w:val="white"/>
                <w:rtl w:val="0"/>
              </w:rPr>
              <w:t xml:space="preserve">1.1 "Оцінка нерухомих речей (нерухомого майна, нерухомості), у тому числі земельних ділянок, та майнових прав на них"</w:t>
            </w:r>
          </w:p>
        </w:tc>
        <w:tc>
          <w:tcPr>
            <w:vAlign w:val="center"/>
          </w:tcPr>
          <w:p w:rsidR="00000000" w:rsidDel="00000000" w:rsidP="00000000" w:rsidRDefault="00000000" w:rsidRPr="00000000" w14:paraId="00000010">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bCs w:val="1"/>
                <w:i w:val="0"/>
                <w:iCs w:val="0"/>
                <w:smallCaps w:val="0"/>
                <w:strike w:val="0"/>
                <w:color w:val="000000"/>
                <w:sz w:val="24"/>
                <w:szCs w:val="24"/>
                <w:highlight w:val="white"/>
                <w:u w:val="none"/>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1">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i w:val="0"/>
                <w:iCs w:val="0"/>
                <w:smallCaps w:val="0"/>
                <w:strike w:val="0"/>
                <w:color w:val="000000"/>
                <w:sz w:val="24"/>
                <w:szCs w:val="24"/>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ind w:right="0"/>
              <w:rPr>
                <w:sz w:val="24"/>
                <w:szCs w:val="24"/>
                <w:highlight w:val="white"/>
              </w:rPr>
            </w:pPr>
            <w:r w:rsidDel="00000000" w:rsidR="00000000" w:rsidRPr="00000000">
              <w:rPr>
                <w:sz w:val="24"/>
                <w:szCs w:val="24"/>
                <w:highlight w:val="white"/>
                <w:rtl w:val="0"/>
              </w:rPr>
              <w:t xml:space="preserve">1.2 "Оцінка машин і обладнання"</w:t>
            </w:r>
          </w:p>
        </w:tc>
        <w:tc>
          <w:tcPr>
            <w:vAlign w:val="center"/>
          </w:tcPr>
          <w:p w:rsidR="00000000" w:rsidDel="00000000" w:rsidP="00000000" w:rsidRDefault="00000000" w:rsidRPr="00000000" w14:paraId="00000013">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bCs w:val="1"/>
                <w:i w:val="0"/>
                <w:iCs w:val="0"/>
                <w:smallCaps w:val="0"/>
                <w:strike w:val="0"/>
                <w:color w:val="000000"/>
                <w:sz w:val="24"/>
                <w:szCs w:val="24"/>
                <w:highlight w:val="white"/>
                <w:u w:val="none"/>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4">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i w:val="0"/>
                <w:iCs w:val="0"/>
                <w:smallCaps w:val="0"/>
                <w:strike w:val="0"/>
                <w:color w:val="000000"/>
                <w:sz w:val="24"/>
                <w:szCs w:val="24"/>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pBdr>
              <w:ind w:right="0"/>
              <w:rPr>
                <w:sz w:val="24"/>
                <w:szCs w:val="24"/>
                <w:highlight w:val="white"/>
              </w:rPr>
            </w:pPr>
            <w:r w:rsidDel="00000000" w:rsidR="00000000" w:rsidRPr="00000000">
              <w:rPr>
                <w:sz w:val="24"/>
                <w:szCs w:val="24"/>
                <w:highlight w:val="white"/>
                <w:rtl w:val="0"/>
              </w:rPr>
              <w:t xml:space="preserve">1.3 "Оцінка колісних транспортних засобів"</w:t>
            </w:r>
          </w:p>
        </w:tc>
        <w:tc>
          <w:tcPr>
            <w:vAlign w:val="center"/>
          </w:tcPr>
          <w:p w:rsidR="00000000" w:rsidDel="00000000" w:rsidP="00000000" w:rsidRDefault="00000000" w:rsidRPr="00000000" w14:paraId="00000016">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bCs w:val="1"/>
                <w:i w:val="0"/>
                <w:iCs w:val="0"/>
                <w:smallCaps w:val="0"/>
                <w:strike w:val="0"/>
                <w:color w:val="000000"/>
                <w:sz w:val="24"/>
                <w:szCs w:val="24"/>
                <w:highlight w:val="white"/>
                <w:u w:val="none"/>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7">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i w:val="0"/>
                <w:iCs w:val="0"/>
                <w:smallCaps w:val="0"/>
                <w:strike w:val="0"/>
                <w:color w:val="000000"/>
                <w:sz w:val="24"/>
                <w:szCs w:val="24"/>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ind w:right="0"/>
              <w:rPr>
                <w:sz w:val="24"/>
                <w:szCs w:val="24"/>
                <w:highlight w:val="white"/>
              </w:rPr>
            </w:pPr>
            <w:r w:rsidDel="00000000" w:rsidR="00000000" w:rsidRPr="00000000">
              <w:rPr>
                <w:sz w:val="24"/>
                <w:szCs w:val="24"/>
                <w:highlight w:val="white"/>
                <w:rtl w:val="0"/>
              </w:rPr>
              <w:t xml:space="preserve">1.4 "Оцінка літальних апаратів"</w:t>
            </w:r>
          </w:p>
        </w:tc>
        <w:tc>
          <w:tcPr>
            <w:vAlign w:val="center"/>
          </w:tcPr>
          <w:p w:rsidR="00000000" w:rsidDel="00000000" w:rsidP="00000000" w:rsidRDefault="00000000" w:rsidRPr="00000000" w14:paraId="00000019">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bCs w:val="1"/>
                <w:i w:val="0"/>
                <w:iCs w:val="0"/>
                <w:smallCaps w:val="0"/>
                <w:strike w:val="0"/>
                <w:color w:val="000000"/>
                <w:sz w:val="24"/>
                <w:szCs w:val="24"/>
                <w:highlight w:val="white"/>
                <w:u w:val="none"/>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A">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i w:val="0"/>
                <w:iCs w:val="0"/>
                <w:smallCaps w:val="0"/>
                <w:strike w:val="0"/>
                <w:color w:val="000000"/>
                <w:sz w:val="24"/>
                <w:szCs w:val="24"/>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ind w:right="0"/>
              <w:rPr>
                <w:sz w:val="24"/>
                <w:szCs w:val="24"/>
                <w:highlight w:val="white"/>
              </w:rPr>
            </w:pPr>
            <w:r w:rsidDel="00000000" w:rsidR="00000000" w:rsidRPr="00000000">
              <w:rPr>
                <w:sz w:val="24"/>
                <w:szCs w:val="24"/>
                <w:highlight w:val="white"/>
                <w:rtl w:val="0"/>
              </w:rPr>
              <w:t xml:space="preserve">1.5 "Оцінка судноплавних засобів"</w:t>
            </w:r>
          </w:p>
        </w:tc>
        <w:tc>
          <w:tcPr>
            <w:vAlign w:val="center"/>
          </w:tcPr>
          <w:p w:rsidR="00000000" w:rsidDel="00000000" w:rsidP="00000000" w:rsidRDefault="00000000" w:rsidRPr="00000000" w14:paraId="0000001C">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bCs w:val="1"/>
                <w:i w:val="0"/>
                <w:iCs w:val="0"/>
                <w:smallCaps w:val="0"/>
                <w:strike w:val="0"/>
                <w:color w:val="000000"/>
                <w:sz w:val="24"/>
                <w:szCs w:val="24"/>
                <w:highlight w:val="white"/>
                <w:u w:val="none"/>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D">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i w:val="0"/>
                <w:iCs w:val="0"/>
                <w:smallCaps w:val="0"/>
                <w:strike w:val="0"/>
                <w:color w:val="000000"/>
                <w:sz w:val="24"/>
                <w:szCs w:val="24"/>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ind w:right="0"/>
              <w:rPr>
                <w:sz w:val="24"/>
                <w:szCs w:val="24"/>
                <w:highlight w:val="white"/>
              </w:rPr>
            </w:pPr>
            <w:r w:rsidDel="00000000" w:rsidR="00000000" w:rsidRPr="00000000">
              <w:rPr>
                <w:sz w:val="24"/>
                <w:szCs w:val="24"/>
                <w:highlight w:val="white"/>
                <w:rtl w:val="0"/>
              </w:rPr>
              <w:t xml:space="preserve">1.6 "Оцінка рухомих речей, що становлять культурну цінність"</w:t>
            </w:r>
          </w:p>
        </w:tc>
        <w:tc>
          <w:tcPr>
            <w:vAlign w:val="center"/>
          </w:tcPr>
          <w:p w:rsidR="00000000" w:rsidDel="00000000" w:rsidP="00000000" w:rsidRDefault="00000000" w:rsidRPr="00000000" w14:paraId="0000001F">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bCs w:val="1"/>
                <w:i w:val="0"/>
                <w:iCs w:val="0"/>
                <w:smallCaps w:val="0"/>
                <w:strike w:val="0"/>
                <w:color w:val="000000"/>
                <w:sz w:val="24"/>
                <w:szCs w:val="24"/>
                <w:highlight w:val="white"/>
                <w:u w:val="none"/>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0">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i w:val="0"/>
                <w:iCs w:val="0"/>
                <w:smallCaps w:val="0"/>
                <w:strike w:val="0"/>
                <w:color w:val="000000"/>
                <w:sz w:val="24"/>
                <w:szCs w:val="24"/>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pBdr>
              <w:ind w:right="0"/>
              <w:rPr>
                <w:sz w:val="24"/>
                <w:szCs w:val="24"/>
                <w:highlight w:val="white"/>
              </w:rPr>
            </w:pPr>
            <w:r w:rsidDel="00000000" w:rsidR="00000000" w:rsidRPr="00000000">
              <w:rPr>
                <w:sz w:val="24"/>
                <w:szCs w:val="24"/>
                <w:highlight w:val="white"/>
                <w:rtl w:val="0"/>
              </w:rPr>
              <w:t xml:space="preserve">1.7 "Оцінка рухомих речей, крім таких, що віднесені до машин, обладнання колісних транспортних засобів, літальних апаратів, судноплавних засобів, та тих, що становлять культурну цінність"</w:t>
            </w:r>
          </w:p>
        </w:tc>
        <w:tc>
          <w:tcPr>
            <w:vAlign w:val="center"/>
          </w:tcPr>
          <w:p w:rsidR="00000000" w:rsidDel="00000000" w:rsidP="00000000" w:rsidRDefault="00000000" w:rsidRPr="00000000" w14:paraId="00000022">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bCs w:val="1"/>
                <w:i w:val="0"/>
                <w:iCs w:val="0"/>
                <w:smallCaps w:val="0"/>
                <w:strike w:val="0"/>
                <w:color w:val="000000"/>
                <w:sz w:val="24"/>
                <w:szCs w:val="24"/>
                <w:highlight w:val="white"/>
                <w:u w:val="none"/>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3">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i w:val="0"/>
                <w:iCs w:val="0"/>
                <w:smallCaps w:val="0"/>
                <w:strike w:val="0"/>
                <w:color w:val="000000"/>
                <w:sz w:val="24"/>
                <w:szCs w:val="24"/>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024">
            <w:pPr>
              <w:numPr>
                <w:ilvl w:val="0"/>
                <w:numId w:val="1"/>
              </w:numPr>
              <w:pBdr>
                <w:top w:color="000000" w:space="0" w:sz="0" w:val="none"/>
                <w:left w:color="000000" w:space="0" w:sz="0" w:val="none"/>
                <w:bottom w:color="000000" w:space="0" w:sz="0" w:val="none"/>
                <w:right w:color="000000" w:space="0" w:sz="0" w:val="none"/>
              </w:pBdr>
              <w:ind w:left="720" w:right="0" w:hanging="360"/>
              <w:rPr>
                <w:sz w:val="24"/>
                <w:szCs w:val="24"/>
                <w:highlight w:val="white"/>
              </w:rPr>
            </w:pPr>
            <w:r w:rsidDel="00000000" w:rsidR="00000000" w:rsidRPr="00000000">
              <w:rPr>
                <w:sz w:val="24"/>
                <w:szCs w:val="24"/>
                <w:highlight w:val="white"/>
                <w:rtl w:val="0"/>
              </w:rPr>
              <w:t xml:space="preserve">"Оцінка цілісних майнових комплексів, паїв, цінних паперів, майнових прав та нематеріальних активів, у тому числі прав на об'єкти інтелектуальної власності":</w:t>
            </w:r>
          </w:p>
        </w:tc>
        <w:tc>
          <w:tcPr>
            <w:vAlign w:val="center"/>
          </w:tcPr>
          <w:p w:rsidR="00000000" w:rsidDel="00000000" w:rsidP="00000000" w:rsidRDefault="00000000" w:rsidRPr="00000000" w14:paraId="00000025">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bCs w:val="1"/>
                <w:i w:val="0"/>
                <w:iCs w:val="0"/>
                <w:smallCaps w:val="0"/>
                <w:strike w:val="0"/>
                <w:color w:val="000000"/>
                <w:sz w:val="24"/>
                <w:szCs w:val="24"/>
                <w:highlight w:val="white"/>
                <w:u w:val="none"/>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6">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i w:val="0"/>
                <w:iCs w:val="0"/>
                <w:smallCaps w:val="0"/>
                <w:strike w:val="0"/>
                <w:color w:val="000000"/>
                <w:sz w:val="24"/>
                <w:szCs w:val="24"/>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pBdr>
              <w:ind w:right="0"/>
              <w:rPr>
                <w:sz w:val="24"/>
                <w:szCs w:val="24"/>
                <w:highlight w:val="white"/>
              </w:rPr>
            </w:pPr>
            <w:r w:rsidDel="00000000" w:rsidR="00000000" w:rsidRPr="00000000">
              <w:rPr>
                <w:sz w:val="24"/>
                <w:szCs w:val="24"/>
                <w:highlight w:val="white"/>
                <w:rtl w:val="0"/>
              </w:rPr>
              <w:t xml:space="preserve">2.1 "Оцінка цілісних майнових комплексів, паїв, цінних паперів, майнових прав та нематеріальних активів (крім прав на об'єкти інтелектуальної власності)"</w:t>
            </w:r>
          </w:p>
        </w:tc>
        <w:tc>
          <w:tcPr>
            <w:vAlign w:val="center"/>
          </w:tcPr>
          <w:p w:rsidR="00000000" w:rsidDel="00000000" w:rsidP="00000000" w:rsidRDefault="00000000" w:rsidRPr="00000000" w14:paraId="00000028">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bCs w:val="1"/>
                <w:i w:val="0"/>
                <w:iCs w:val="0"/>
                <w:smallCaps w:val="0"/>
                <w:strike w:val="0"/>
                <w:color w:val="000000"/>
                <w:sz w:val="24"/>
                <w:szCs w:val="24"/>
                <w:highlight w:val="white"/>
                <w:u w:val="none"/>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9">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i w:val="0"/>
                <w:iCs w:val="0"/>
                <w:smallCaps w:val="0"/>
                <w:strike w:val="0"/>
                <w:color w:val="000000"/>
                <w:sz w:val="24"/>
                <w:szCs w:val="24"/>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pBdr>
              <w:shd w:fill="ffffff" w:val="clear"/>
              <w:ind w:right="0"/>
              <w:rPr>
                <w:sz w:val="24"/>
                <w:szCs w:val="24"/>
                <w:highlight w:val="white"/>
              </w:rPr>
            </w:pPr>
            <w:r w:rsidDel="00000000" w:rsidR="00000000" w:rsidRPr="00000000">
              <w:rPr>
                <w:sz w:val="24"/>
                <w:szCs w:val="24"/>
                <w:highlight w:val="white"/>
                <w:rtl w:val="0"/>
              </w:rPr>
              <w:t xml:space="preserve">2.2 "Оцінка прав на об'єкти інтелектуальної власності"</w:t>
            </w:r>
          </w:p>
        </w:tc>
        <w:tc>
          <w:tcPr>
            <w:vAlign w:val="center"/>
          </w:tcPr>
          <w:p w:rsidR="00000000" w:rsidDel="00000000" w:rsidP="00000000" w:rsidRDefault="00000000" w:rsidRPr="00000000" w14:paraId="0000002B">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bCs w:val="1"/>
                <w:i w:val="0"/>
                <w:iCs w:val="0"/>
                <w:smallCaps w:val="0"/>
                <w:strike w:val="0"/>
                <w:color w:val="000000"/>
                <w:sz w:val="24"/>
                <w:szCs w:val="24"/>
                <w:highlight w:val="white"/>
                <w:u w:val="none"/>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C">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i w:val="0"/>
                <w:iCs w:val="0"/>
                <w:smallCaps w:val="0"/>
                <w:strike w:val="0"/>
                <w:color w:val="000000"/>
                <w:sz w:val="24"/>
                <w:szCs w:val="24"/>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02D">
            <w:pPr>
              <w:numPr>
                <w:ilvl w:val="0"/>
                <w:numId w:val="1"/>
              </w:numPr>
              <w:pBdr>
                <w:top w:color="000000" w:space="0" w:sz="0" w:val="none"/>
                <w:left w:color="000000" w:space="0" w:sz="0" w:val="none"/>
                <w:bottom w:color="000000" w:space="0" w:sz="0" w:val="none"/>
                <w:right w:color="000000" w:space="0" w:sz="0" w:val="none"/>
              </w:pBdr>
              <w:ind w:left="720" w:right="0" w:hanging="360"/>
              <w:rPr>
                <w:sz w:val="24"/>
                <w:szCs w:val="24"/>
                <w:highlight w:val="white"/>
              </w:rPr>
            </w:pPr>
            <w:r w:rsidDel="00000000" w:rsidR="00000000" w:rsidRPr="00000000">
              <w:rPr>
                <w:sz w:val="24"/>
                <w:szCs w:val="24"/>
                <w:highlight w:val="white"/>
                <w:rtl w:val="0"/>
              </w:rPr>
              <w:t xml:space="preserve"> "Оцінка земельних ділянок".</w:t>
            </w:r>
          </w:p>
        </w:tc>
        <w:tc>
          <w:tcPr>
            <w:vAlign w:val="center"/>
          </w:tcPr>
          <w:p w:rsidR="00000000" w:rsidDel="00000000" w:rsidP="00000000" w:rsidRDefault="00000000" w:rsidRPr="00000000" w14:paraId="0000002E">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bCs w:val="1"/>
                <w:i w:val="0"/>
                <w:iCs w:val="0"/>
                <w:smallCaps w:val="0"/>
                <w:strike w:val="0"/>
                <w:color w:val="000000"/>
                <w:sz w:val="24"/>
                <w:szCs w:val="24"/>
                <w:highlight w:val="white"/>
                <w:u w:val="none"/>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F">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i w:val="0"/>
                <w:iCs w:val="0"/>
                <w:smallCaps w:val="0"/>
                <w:strike w:val="0"/>
                <w:color w:val="000000"/>
                <w:sz w:val="24"/>
                <w:szCs w:val="24"/>
                <w:highlight w:val="white"/>
                <w:u w:val="none"/>
                <w:vertAlign w:val="baseline"/>
              </w:rPr>
            </w:pPr>
            <w:r w:rsidDel="00000000" w:rsidR="00000000" w:rsidRPr="00000000">
              <w:rPr>
                <w:sz w:val="24"/>
                <w:szCs w:val="24"/>
                <w:highlight w:val="white"/>
                <w:rtl w:val="0"/>
              </w:rPr>
              <w:t xml:space="preserve">3</w:t>
            </w:r>
            <w:r w:rsidDel="00000000" w:rsidR="00000000" w:rsidRPr="00000000">
              <w:rPr>
                <w:rtl w:val="0"/>
              </w:rPr>
            </w:r>
          </w:p>
        </w:tc>
        <w:tc>
          <w:tcPr>
            <w:vAlign w:val="center"/>
          </w:tcPr>
          <w:p w:rsidR="00000000" w:rsidDel="00000000" w:rsidP="00000000" w:rsidRDefault="00000000" w:rsidRPr="00000000" w14:paraId="00000030">
            <w:pPr>
              <w:spacing w:line="276" w:lineRule="auto"/>
              <w:ind w:right="0" w:firstLine="141"/>
              <w:jc w:val="both"/>
              <w:rPr>
                <w:b w:val="1"/>
                <w:bCs w:val="1"/>
                <w:i w:val="0"/>
                <w:iCs w:val="0"/>
                <w:smallCaps w:val="0"/>
                <w:strike w:val="0"/>
                <w:color w:val="000000"/>
                <w:sz w:val="24"/>
                <w:szCs w:val="24"/>
                <w:highlight w:val="white"/>
                <w:u w:val="none"/>
                <w:vertAlign w:val="baseline"/>
              </w:rPr>
            </w:pPr>
            <w:r w:rsidDel="00000000" w:rsidR="00000000" w:rsidRPr="00000000">
              <w:rPr>
                <w:sz w:val="24"/>
                <w:szCs w:val="24"/>
                <w:highlight w:val="white"/>
                <w:rtl w:val="0"/>
              </w:rPr>
              <w:t xml:space="preserve">Суб’єкт оціночної діяльності має </w:t>
            </w:r>
            <w:r w:rsidDel="00000000" w:rsidR="00000000" w:rsidRPr="00000000">
              <w:rPr>
                <w:sz w:val="24"/>
                <w:szCs w:val="24"/>
                <w:rtl w:val="0"/>
              </w:rPr>
              <w:t xml:space="preserve">досвід практичної діяльності на ринку України з оцінки майна не менше ніж п'ять років, з яких не менше ніж три роки за напрямами оцінки майна визначених видів забезпечення</w:t>
            </w:r>
            <w:r w:rsidDel="00000000" w:rsidR="00000000" w:rsidRPr="00000000">
              <w:rPr>
                <w:rtl w:val="0"/>
              </w:rPr>
            </w:r>
          </w:p>
        </w:tc>
        <w:tc>
          <w:tcPr>
            <w:vAlign w:val="center"/>
          </w:tcPr>
          <w:p w:rsidR="00000000" w:rsidDel="00000000" w:rsidP="00000000" w:rsidRDefault="00000000" w:rsidRPr="00000000" w14:paraId="00000031">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bCs w:val="1"/>
                <w:i w:val="0"/>
                <w:iCs w:val="0"/>
                <w:smallCaps w:val="0"/>
                <w:strike w:val="0"/>
                <w:color w:val="000000"/>
                <w:sz w:val="24"/>
                <w:szCs w:val="24"/>
                <w:highlight w:val="white"/>
                <w:u w:val="none"/>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2">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i w:val="0"/>
                <w:iCs w:val="0"/>
                <w:smallCaps w:val="0"/>
                <w:strike w:val="0"/>
                <w:color w:val="000000"/>
                <w:sz w:val="24"/>
                <w:szCs w:val="24"/>
                <w:highlight w:val="white"/>
                <w:u w:val="none"/>
                <w:vertAlign w:val="baseline"/>
              </w:rPr>
            </w:pPr>
            <w:r w:rsidDel="00000000" w:rsidR="00000000" w:rsidRPr="00000000">
              <w:rPr>
                <w:sz w:val="24"/>
                <w:szCs w:val="24"/>
                <w:highlight w:val="white"/>
                <w:rtl w:val="0"/>
              </w:rPr>
              <w:t xml:space="preserve">4</w:t>
            </w:r>
            <w:r w:rsidDel="00000000" w:rsidR="00000000" w:rsidRPr="00000000">
              <w:rPr>
                <w:rtl w:val="0"/>
              </w:rPr>
            </w:r>
          </w:p>
        </w:tc>
        <w:tc>
          <w:tcPr>
            <w:vAlign w:val="center"/>
          </w:tcPr>
          <w:p w:rsidR="00000000" w:rsidDel="00000000" w:rsidP="00000000" w:rsidRDefault="00000000" w:rsidRPr="00000000" w14:paraId="00000033">
            <w:pPr>
              <w:shd w:fill="ffffff" w:val="clear"/>
              <w:spacing w:line="276" w:lineRule="auto"/>
              <w:ind w:right="0" w:firstLine="141"/>
              <w:jc w:val="both"/>
              <w:rPr>
                <w:b w:val="1"/>
                <w:bCs w:val="1"/>
                <w:i w:val="0"/>
                <w:iCs w:val="0"/>
                <w:smallCaps w:val="0"/>
                <w:strike w:val="0"/>
                <w:color w:val="000000"/>
                <w:sz w:val="24"/>
                <w:szCs w:val="24"/>
                <w:u w:val="none"/>
                <w:vertAlign w:val="baseline"/>
              </w:rPr>
            </w:pPr>
            <w:r w:rsidDel="00000000" w:rsidR="00000000" w:rsidRPr="00000000">
              <w:rPr>
                <w:sz w:val="24"/>
                <w:szCs w:val="24"/>
                <w:rtl w:val="0"/>
              </w:rPr>
              <w:t xml:space="preserve">Досвід практичної діяльності оцінювачів, які виконують оцінку в складі суб'єкта оціночної діяльності, не менше ніж два роки, з яких не менше ніж один рік за напрямами оцінки майна визначених видів забезпечення</w:t>
            </w:r>
            <w:r w:rsidDel="00000000" w:rsidR="00000000" w:rsidRPr="00000000">
              <w:rPr>
                <w:rtl w:val="0"/>
              </w:rPr>
            </w:r>
          </w:p>
        </w:tc>
        <w:tc>
          <w:tcPr>
            <w:vAlign w:val="center"/>
          </w:tcPr>
          <w:p w:rsidR="00000000" w:rsidDel="00000000" w:rsidP="00000000" w:rsidRDefault="00000000" w:rsidRPr="00000000" w14:paraId="00000034">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bCs w:val="1"/>
                <w:i w:val="0"/>
                <w:iCs w:val="0"/>
                <w:smallCaps w:val="0"/>
                <w:strike w:val="0"/>
                <w:color w:val="000000"/>
                <w:sz w:val="24"/>
                <w:szCs w:val="24"/>
                <w:highlight w:val="white"/>
                <w:u w:val="none"/>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5">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i w:val="0"/>
                <w:iCs w:val="0"/>
                <w:smallCaps w:val="0"/>
                <w:strike w:val="0"/>
                <w:color w:val="000000"/>
                <w:sz w:val="24"/>
                <w:szCs w:val="24"/>
                <w:highlight w:val="white"/>
                <w:u w:val="none"/>
                <w:vertAlign w:val="baseline"/>
              </w:rPr>
            </w:pPr>
            <w:r w:rsidDel="00000000" w:rsidR="00000000" w:rsidRPr="00000000">
              <w:rPr>
                <w:sz w:val="24"/>
                <w:szCs w:val="24"/>
                <w:highlight w:val="white"/>
                <w:rtl w:val="0"/>
              </w:rPr>
              <w:t xml:space="preserve">5</w:t>
            </w:r>
            <w:r w:rsidDel="00000000" w:rsidR="00000000" w:rsidRPr="00000000">
              <w:rPr>
                <w:rtl w:val="0"/>
              </w:rPr>
            </w:r>
          </w:p>
        </w:tc>
        <w:tc>
          <w:tcPr>
            <w:vAlign w:val="center"/>
          </w:tcPr>
          <w:p w:rsidR="00000000" w:rsidDel="00000000" w:rsidP="00000000" w:rsidRDefault="00000000" w:rsidRPr="00000000" w14:paraId="00000036">
            <w:pPr>
              <w:shd w:fill="ffffff" w:val="clear"/>
              <w:spacing w:line="276" w:lineRule="auto"/>
              <w:ind w:right="0" w:firstLine="141"/>
              <w:jc w:val="both"/>
              <w:rPr>
                <w:b w:val="1"/>
                <w:bCs w:val="1"/>
                <w:i w:val="0"/>
                <w:iCs w:val="0"/>
                <w:smallCaps w:val="0"/>
                <w:strike w:val="0"/>
                <w:color w:val="000000"/>
                <w:sz w:val="24"/>
                <w:szCs w:val="24"/>
                <w:highlight w:val="white"/>
                <w:u w:val="none"/>
                <w:vertAlign w:val="baseline"/>
              </w:rPr>
            </w:pPr>
            <w:r w:rsidDel="00000000" w:rsidR="00000000" w:rsidRPr="00000000">
              <w:rPr>
                <w:sz w:val="24"/>
                <w:szCs w:val="24"/>
                <w:rtl w:val="0"/>
              </w:rPr>
              <w:t xml:space="preserve">Відсутність упродовж трьох останніх років, що передують даті, на яку здійснюється оцінка кредитного ризику, інформації про суб'єкта оціночної діяльності та оцінювачів, які виконують оцінку в його складі, щодо порушень нормативно-правових актів з оцінки майна, майнових прав та професійної оціночної діяльності в Україні; фактів порушень обмежень щодо проведення оцінки майна, установлених законодавством України; рецензій на звіт про оцінку майна, що класифікується за такою ознакою: “Звіт про оцінку майна не відповідає вимогам нормативно-правових актів з оцінки майна, є неякісним та (або) непрофесійним і не може бути використаний”</w:t>
            </w:r>
            <w:r w:rsidDel="00000000" w:rsidR="00000000" w:rsidRPr="00000000">
              <w:rPr>
                <w:rtl w:val="0"/>
              </w:rPr>
            </w:r>
          </w:p>
        </w:tc>
        <w:tc>
          <w:tcPr>
            <w:vAlign w:val="center"/>
          </w:tcPr>
          <w:p w:rsidR="00000000" w:rsidDel="00000000" w:rsidP="00000000" w:rsidRDefault="00000000" w:rsidRPr="00000000" w14:paraId="00000037">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bCs w:val="1"/>
                <w:i w:val="0"/>
                <w:iCs w:val="0"/>
                <w:smallCaps w:val="0"/>
                <w:strike w:val="0"/>
                <w:color w:val="000000"/>
                <w:sz w:val="24"/>
                <w:szCs w:val="24"/>
                <w:highlight w:val="white"/>
                <w:u w:val="none"/>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8">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i w:val="0"/>
                <w:iCs w:val="0"/>
                <w:smallCaps w:val="0"/>
                <w:strike w:val="0"/>
                <w:color w:val="000000"/>
                <w:sz w:val="24"/>
                <w:szCs w:val="24"/>
                <w:highlight w:val="white"/>
                <w:u w:val="none"/>
                <w:vertAlign w:val="baseline"/>
              </w:rPr>
            </w:pPr>
            <w:r w:rsidDel="00000000" w:rsidR="00000000" w:rsidRPr="00000000">
              <w:rPr>
                <w:sz w:val="24"/>
                <w:szCs w:val="24"/>
                <w:highlight w:val="white"/>
                <w:rtl w:val="0"/>
              </w:rPr>
              <w:t xml:space="preserve">6</w:t>
            </w:r>
            <w:r w:rsidDel="00000000" w:rsidR="00000000" w:rsidRPr="00000000">
              <w:rPr>
                <w:rtl w:val="0"/>
              </w:rPr>
            </w:r>
          </w:p>
        </w:tc>
        <w:tc>
          <w:tcPr>
            <w:vAlign w:val="center"/>
          </w:tcPr>
          <w:p w:rsidR="00000000" w:rsidDel="00000000" w:rsidP="00000000" w:rsidRDefault="00000000" w:rsidRPr="00000000" w14:paraId="00000039">
            <w:pPr>
              <w:spacing w:line="276" w:lineRule="auto"/>
              <w:ind w:right="0" w:firstLine="141"/>
              <w:jc w:val="both"/>
              <w:rPr>
                <w:b w:val="1"/>
                <w:bCs w:val="1"/>
                <w:i w:val="0"/>
                <w:iCs w:val="0"/>
                <w:smallCaps w:val="0"/>
                <w:strike w:val="0"/>
                <w:color w:val="000000"/>
                <w:sz w:val="24"/>
                <w:szCs w:val="24"/>
                <w:highlight w:val="white"/>
                <w:u w:val="none"/>
                <w:vertAlign w:val="baseline"/>
              </w:rPr>
            </w:pPr>
            <w:r w:rsidDel="00000000" w:rsidR="00000000" w:rsidRPr="00000000">
              <w:rPr>
                <w:sz w:val="24"/>
                <w:szCs w:val="24"/>
                <w:rtl w:val="0"/>
              </w:rPr>
              <w:t xml:space="preserve"> В Національному банку України не має інформації про рецензію на звіт про оцінку, що класифікується за ознакою: “Звіт про оцінку майна не відповідає вимогам нормативно-правових актів з оцінки майна, є неякісним та (або) непрофесійним і не може бути використаний”</w:t>
            </w:r>
            <w:r w:rsidDel="00000000" w:rsidR="00000000" w:rsidRPr="00000000">
              <w:rPr>
                <w:rtl w:val="0"/>
              </w:rPr>
            </w:r>
          </w:p>
        </w:tc>
        <w:tc>
          <w:tcPr>
            <w:vAlign w:val="center"/>
          </w:tcPr>
          <w:p w:rsidR="00000000" w:rsidDel="00000000" w:rsidP="00000000" w:rsidRDefault="00000000" w:rsidRPr="00000000" w14:paraId="0000003A">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bCs w:val="1"/>
                <w:i w:val="0"/>
                <w:iCs w:val="0"/>
                <w:smallCaps w:val="0"/>
                <w:strike w:val="0"/>
                <w:color w:val="000000"/>
                <w:sz w:val="24"/>
                <w:szCs w:val="24"/>
                <w:highlight w:val="white"/>
                <w:u w:val="none"/>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B">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i w:val="0"/>
                <w:iCs w:val="0"/>
                <w:smallCaps w:val="0"/>
                <w:strike w:val="0"/>
                <w:color w:val="000000"/>
                <w:sz w:val="24"/>
                <w:szCs w:val="24"/>
                <w:highlight w:val="white"/>
                <w:u w:val="none"/>
                <w:vertAlign w:val="baseline"/>
              </w:rPr>
            </w:pPr>
            <w:r w:rsidDel="00000000" w:rsidR="00000000" w:rsidRPr="00000000">
              <w:rPr>
                <w:sz w:val="24"/>
                <w:szCs w:val="24"/>
                <w:highlight w:val="white"/>
                <w:rtl w:val="0"/>
              </w:rPr>
              <w:t xml:space="preserve">7</w:t>
            </w:r>
            <w:r w:rsidDel="00000000" w:rsidR="00000000" w:rsidRPr="00000000">
              <w:rPr>
                <w:rtl w:val="0"/>
              </w:rPr>
            </w:r>
          </w:p>
        </w:tc>
        <w:tc>
          <w:tcPr>
            <w:vAlign w:val="center"/>
          </w:tcPr>
          <w:p w:rsidR="00000000" w:rsidDel="00000000" w:rsidP="00000000" w:rsidRDefault="00000000" w:rsidRPr="00000000" w14:paraId="0000003C">
            <w:pPr>
              <w:spacing w:line="276" w:lineRule="auto"/>
              <w:ind w:right="0" w:firstLine="141"/>
              <w:jc w:val="both"/>
              <w:rPr>
                <w:b w:val="1"/>
                <w:bCs w:val="1"/>
                <w:i w:val="0"/>
                <w:iCs w:val="0"/>
                <w:smallCaps w:val="0"/>
                <w:strike w:val="0"/>
                <w:color w:val="000000"/>
                <w:sz w:val="24"/>
                <w:szCs w:val="24"/>
                <w:vertAlign w:val="baseline"/>
              </w:rPr>
            </w:pPr>
            <w:r w:rsidDel="00000000" w:rsidR="00000000" w:rsidRPr="00000000">
              <w:rPr>
                <w:sz w:val="24"/>
                <w:szCs w:val="24"/>
                <w:rtl w:val="0"/>
              </w:rPr>
              <w:t xml:space="preserve">Кількість оцінювачів в складі СОД не менше 4 осіб. </w:t>
            </w:r>
            <w:r w:rsidDel="00000000" w:rsidR="00000000" w:rsidRPr="00000000">
              <w:rPr>
                <w:rtl w:val="0"/>
              </w:rPr>
            </w:r>
          </w:p>
        </w:tc>
        <w:tc>
          <w:tcPr>
            <w:vAlign w:val="center"/>
          </w:tcPr>
          <w:p w:rsidR="00000000" w:rsidDel="00000000" w:rsidP="00000000" w:rsidRDefault="00000000" w:rsidRPr="00000000" w14:paraId="0000003D">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bCs w:val="1"/>
                <w:i w:val="0"/>
                <w:iCs w:val="0"/>
                <w:smallCaps w:val="0"/>
                <w:strike w:val="0"/>
                <w:color w:val="000000"/>
                <w:sz w:val="24"/>
                <w:szCs w:val="24"/>
                <w:highlight w:val="white"/>
                <w:u w:val="none"/>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E">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i w:val="0"/>
                <w:iCs w:val="0"/>
                <w:smallCaps w:val="0"/>
                <w:strike w:val="0"/>
                <w:color w:val="000000"/>
                <w:sz w:val="24"/>
                <w:szCs w:val="24"/>
                <w:highlight w:val="white"/>
                <w:u w:val="none"/>
                <w:vertAlign w:val="baseline"/>
              </w:rPr>
            </w:pPr>
            <w:r w:rsidDel="00000000" w:rsidR="00000000" w:rsidRPr="00000000">
              <w:rPr>
                <w:sz w:val="24"/>
                <w:szCs w:val="24"/>
                <w:highlight w:val="white"/>
                <w:rtl w:val="0"/>
              </w:rPr>
              <w:t xml:space="preserve">8</w:t>
            </w:r>
            <w:r w:rsidDel="00000000" w:rsidR="00000000" w:rsidRPr="00000000">
              <w:rPr>
                <w:rtl w:val="0"/>
              </w:rPr>
            </w:r>
          </w:p>
        </w:tc>
        <w:tc>
          <w:tcPr>
            <w:vAlign w:val="center"/>
          </w:tcPr>
          <w:p w:rsidR="00000000" w:rsidDel="00000000" w:rsidP="00000000" w:rsidRDefault="00000000" w:rsidRPr="00000000" w14:paraId="0000003F">
            <w:pPr>
              <w:spacing w:line="276" w:lineRule="auto"/>
              <w:ind w:right="0" w:firstLine="141"/>
              <w:jc w:val="both"/>
              <w:rPr>
                <w:b w:val="1"/>
                <w:bCs w:val="1"/>
                <w:i w:val="0"/>
                <w:iCs w:val="0"/>
                <w:smallCaps w:val="0"/>
                <w:strike w:val="0"/>
                <w:color w:val="000000"/>
                <w:sz w:val="24"/>
                <w:szCs w:val="24"/>
                <w:highlight w:val="white"/>
                <w:u w:val="none"/>
                <w:vertAlign w:val="baseline"/>
              </w:rPr>
            </w:pPr>
            <w:r w:rsidDel="00000000" w:rsidR="00000000" w:rsidRPr="00000000">
              <w:rPr>
                <w:sz w:val="24"/>
                <w:szCs w:val="24"/>
                <w:rtl w:val="0"/>
              </w:rPr>
              <w:t xml:space="preserve">Директор СОД повинен мати досвід роботи в сфері оцінки не менше 5-ти років.</w:t>
            </w:r>
            <w:r w:rsidDel="00000000" w:rsidR="00000000" w:rsidRPr="00000000">
              <w:rPr>
                <w:rtl w:val="0"/>
              </w:rPr>
            </w:r>
          </w:p>
        </w:tc>
        <w:tc>
          <w:tcPr>
            <w:vAlign w:val="center"/>
          </w:tcPr>
          <w:p w:rsidR="00000000" w:rsidDel="00000000" w:rsidP="00000000" w:rsidRDefault="00000000" w:rsidRPr="00000000" w14:paraId="00000040">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bCs w:val="1"/>
                <w:i w:val="0"/>
                <w:iCs w:val="0"/>
                <w:smallCaps w:val="0"/>
                <w:strike w:val="0"/>
                <w:color w:val="000000"/>
                <w:sz w:val="24"/>
                <w:szCs w:val="24"/>
                <w:highlight w:val="white"/>
                <w:u w:val="none"/>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1">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i w:val="0"/>
                <w:iCs w:val="0"/>
                <w:smallCaps w:val="0"/>
                <w:strike w:val="0"/>
                <w:color w:val="000000"/>
                <w:sz w:val="24"/>
                <w:szCs w:val="24"/>
                <w:highlight w:val="white"/>
                <w:u w:val="none"/>
                <w:vertAlign w:val="baseline"/>
              </w:rPr>
            </w:pPr>
            <w:r w:rsidDel="00000000" w:rsidR="00000000" w:rsidRPr="00000000">
              <w:rPr>
                <w:sz w:val="24"/>
                <w:szCs w:val="24"/>
                <w:highlight w:val="white"/>
                <w:rtl w:val="0"/>
              </w:rPr>
              <w:t xml:space="preserve">9</w:t>
            </w:r>
            <w:r w:rsidDel="00000000" w:rsidR="00000000" w:rsidRPr="00000000">
              <w:rPr>
                <w:rtl w:val="0"/>
              </w:rPr>
            </w:r>
          </w:p>
        </w:tc>
        <w:tc>
          <w:tcPr>
            <w:vAlign w:val="center"/>
          </w:tcPr>
          <w:p w:rsidR="00000000" w:rsidDel="00000000" w:rsidP="00000000" w:rsidRDefault="00000000" w:rsidRPr="00000000" w14:paraId="00000042">
            <w:pPr>
              <w:widowControl w:val="0"/>
              <w:spacing w:line="276" w:lineRule="auto"/>
              <w:ind w:right="0" w:firstLine="141"/>
              <w:jc w:val="both"/>
              <w:rPr>
                <w:b w:val="1"/>
                <w:bCs w:val="1"/>
                <w:i w:val="0"/>
                <w:iCs w:val="0"/>
                <w:smallCaps w:val="0"/>
                <w:strike w:val="0"/>
                <w:color w:val="000000"/>
                <w:sz w:val="24"/>
                <w:szCs w:val="24"/>
                <w:highlight w:val="white"/>
                <w:u w:val="none"/>
                <w:vertAlign w:val="baseline"/>
              </w:rPr>
            </w:pPr>
            <w:r w:rsidDel="00000000" w:rsidR="00000000" w:rsidRPr="00000000">
              <w:rPr>
                <w:sz w:val="24"/>
                <w:szCs w:val="24"/>
                <w:rtl w:val="0"/>
              </w:rPr>
              <w:t xml:space="preserve"> Наявність у складі СОД оцінювачів з експертної грошової оцінки земельних ділянок, які зареєстровані у Державному реєстрі оцінювачів з експертної грошової оцінки земельних ділянок, у разі якщо СОД планує самостійно проводити експертну грошову оцінку земельних ділянок.</w:t>
            </w:r>
            <w:r w:rsidDel="00000000" w:rsidR="00000000" w:rsidRPr="00000000">
              <w:rPr>
                <w:rtl w:val="0"/>
              </w:rPr>
            </w:r>
          </w:p>
        </w:tc>
        <w:tc>
          <w:tcPr>
            <w:vAlign w:val="center"/>
          </w:tcPr>
          <w:p w:rsidR="00000000" w:rsidDel="00000000" w:rsidP="00000000" w:rsidRDefault="00000000" w:rsidRPr="00000000" w14:paraId="00000043">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bCs w:val="1"/>
                <w:i w:val="0"/>
                <w:iCs w:val="0"/>
                <w:smallCaps w:val="0"/>
                <w:strike w:val="0"/>
                <w:color w:val="000000"/>
                <w:sz w:val="24"/>
                <w:szCs w:val="24"/>
                <w:highlight w:val="white"/>
                <w:u w:val="none"/>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4">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i w:val="0"/>
                <w:iCs w:val="0"/>
                <w:smallCaps w:val="0"/>
                <w:strike w:val="0"/>
                <w:color w:val="000000"/>
                <w:sz w:val="24"/>
                <w:szCs w:val="24"/>
                <w:highlight w:val="white"/>
                <w:u w:val="none"/>
                <w:vertAlign w:val="baseline"/>
              </w:rPr>
            </w:pPr>
            <w:r w:rsidDel="00000000" w:rsidR="00000000" w:rsidRPr="00000000">
              <w:rPr>
                <w:sz w:val="24"/>
                <w:szCs w:val="24"/>
                <w:highlight w:val="white"/>
                <w:rtl w:val="0"/>
              </w:rPr>
              <w:t xml:space="preserve">10</w:t>
            </w:r>
            <w:r w:rsidDel="00000000" w:rsidR="00000000" w:rsidRPr="00000000">
              <w:rPr>
                <w:rtl w:val="0"/>
              </w:rPr>
            </w:r>
          </w:p>
        </w:tc>
        <w:tc>
          <w:tcPr>
            <w:vAlign w:val="center"/>
          </w:tcPr>
          <w:p w:rsidR="00000000" w:rsidDel="00000000" w:rsidP="00000000" w:rsidRDefault="00000000" w:rsidRPr="00000000" w14:paraId="00000045">
            <w:pPr>
              <w:spacing w:line="276" w:lineRule="auto"/>
              <w:ind w:right="0" w:firstLine="141"/>
              <w:jc w:val="both"/>
              <w:rPr>
                <w:b w:val="1"/>
                <w:bCs w:val="1"/>
                <w:i w:val="0"/>
                <w:iCs w:val="0"/>
                <w:smallCaps w:val="0"/>
                <w:strike w:val="0"/>
                <w:color w:val="000000"/>
                <w:sz w:val="24"/>
                <w:szCs w:val="24"/>
                <w:highlight w:val="white"/>
                <w:u w:val="none"/>
                <w:vertAlign w:val="baseline"/>
              </w:rPr>
            </w:pPr>
            <w:r w:rsidDel="00000000" w:rsidR="00000000" w:rsidRPr="00000000">
              <w:rPr>
                <w:sz w:val="24"/>
                <w:szCs w:val="24"/>
                <w:rtl w:val="0"/>
              </w:rPr>
              <w:t xml:space="preserve">Наявність у СОД розгалуженої мережі представництв/представників або філій для забезпечення можливості здійснення оцінки на всій території України (крім непідконтрольних територій)</w:t>
            </w:r>
            <w:r w:rsidDel="00000000" w:rsidR="00000000" w:rsidRPr="00000000">
              <w:rPr>
                <w:rtl w:val="0"/>
              </w:rPr>
            </w:r>
          </w:p>
        </w:tc>
        <w:tc>
          <w:tcPr>
            <w:vAlign w:val="center"/>
          </w:tcPr>
          <w:p w:rsidR="00000000" w:rsidDel="00000000" w:rsidP="00000000" w:rsidRDefault="00000000" w:rsidRPr="00000000" w14:paraId="00000046">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bCs w:val="1"/>
                <w:i w:val="0"/>
                <w:iCs w:val="0"/>
                <w:smallCaps w:val="0"/>
                <w:strike w:val="0"/>
                <w:color w:val="000000"/>
                <w:sz w:val="24"/>
                <w:szCs w:val="24"/>
                <w:highlight w:val="white"/>
                <w:u w:val="none"/>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7">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i w:val="0"/>
                <w:iCs w:val="0"/>
                <w:smallCaps w:val="0"/>
                <w:strike w:val="0"/>
                <w:color w:val="000000"/>
                <w:sz w:val="24"/>
                <w:szCs w:val="24"/>
                <w:highlight w:val="white"/>
                <w:u w:val="none"/>
                <w:vertAlign w:val="baseline"/>
              </w:rPr>
            </w:pPr>
            <w:r w:rsidDel="00000000" w:rsidR="00000000" w:rsidRPr="00000000">
              <w:rPr>
                <w:sz w:val="24"/>
                <w:szCs w:val="24"/>
                <w:highlight w:val="white"/>
                <w:rtl w:val="0"/>
              </w:rPr>
              <w:t xml:space="preserve">11</w:t>
            </w:r>
            <w:r w:rsidDel="00000000" w:rsidR="00000000" w:rsidRPr="00000000">
              <w:rPr>
                <w:rtl w:val="0"/>
              </w:rPr>
            </w:r>
          </w:p>
        </w:tc>
        <w:tc>
          <w:tcPr>
            <w:vAlign w:val="center"/>
          </w:tcPr>
          <w:p w:rsidR="00000000" w:rsidDel="00000000" w:rsidP="00000000" w:rsidRDefault="00000000" w:rsidRPr="00000000" w14:paraId="00000048">
            <w:pPr>
              <w:spacing w:line="276" w:lineRule="auto"/>
              <w:ind w:right="0" w:firstLine="141"/>
              <w:jc w:val="both"/>
              <w:rPr>
                <w:b w:val="1"/>
                <w:bCs w:val="1"/>
                <w:i w:val="0"/>
                <w:iCs w:val="0"/>
                <w:smallCaps w:val="0"/>
                <w:strike w:val="0"/>
                <w:color w:val="000000"/>
                <w:sz w:val="24"/>
                <w:szCs w:val="24"/>
                <w:highlight w:val="white"/>
                <w:u w:val="none"/>
                <w:vertAlign w:val="baseline"/>
              </w:rPr>
            </w:pPr>
            <w:r w:rsidDel="00000000" w:rsidR="00000000" w:rsidRPr="00000000">
              <w:rPr>
                <w:sz w:val="24"/>
                <w:szCs w:val="24"/>
                <w:rtl w:val="0"/>
              </w:rPr>
              <w:t xml:space="preserve">СОД повинен мати досвід співпраці з іншими банками/ державними установами та підприємствами/ корпоративними клієнтами. Досвід співпраці підтверджується рекомендаційними листами, інформацією з відкритих джерел (в тому числі сайти банків), скан-копіями документів (наприклад, договори, які дають змогу встановити факт надання послуг)</w:t>
            </w:r>
            <w:r w:rsidDel="00000000" w:rsidR="00000000" w:rsidRPr="00000000">
              <w:rPr>
                <w:rtl w:val="0"/>
              </w:rPr>
            </w:r>
          </w:p>
        </w:tc>
        <w:tc>
          <w:tcPr>
            <w:vAlign w:val="center"/>
          </w:tcPr>
          <w:p w:rsidR="00000000" w:rsidDel="00000000" w:rsidP="00000000" w:rsidRDefault="00000000" w:rsidRPr="00000000" w14:paraId="00000049">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bCs w:val="1"/>
                <w:i w:val="0"/>
                <w:iCs w:val="0"/>
                <w:smallCaps w:val="0"/>
                <w:strike w:val="0"/>
                <w:color w:val="000000"/>
                <w:sz w:val="24"/>
                <w:szCs w:val="24"/>
                <w:highlight w:val="white"/>
                <w:u w:val="none"/>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A">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i w:val="0"/>
                <w:iCs w:val="0"/>
                <w:smallCaps w:val="0"/>
                <w:strike w:val="0"/>
                <w:color w:val="000000"/>
                <w:sz w:val="24"/>
                <w:szCs w:val="24"/>
                <w:highlight w:val="white"/>
                <w:u w:val="none"/>
                <w:vertAlign w:val="baseline"/>
              </w:rPr>
            </w:pPr>
            <w:r w:rsidDel="00000000" w:rsidR="00000000" w:rsidRPr="00000000">
              <w:rPr>
                <w:sz w:val="24"/>
                <w:szCs w:val="24"/>
                <w:highlight w:val="white"/>
                <w:rtl w:val="0"/>
              </w:rPr>
              <w:t xml:space="preserve">12</w:t>
            </w:r>
            <w:r w:rsidDel="00000000" w:rsidR="00000000" w:rsidRPr="00000000">
              <w:rPr>
                <w:rtl w:val="0"/>
              </w:rPr>
            </w:r>
          </w:p>
        </w:tc>
        <w:tc>
          <w:tcPr>
            <w:vAlign w:val="center"/>
          </w:tcPr>
          <w:p w:rsidR="00000000" w:rsidDel="00000000" w:rsidP="00000000" w:rsidRDefault="00000000" w:rsidRPr="00000000" w14:paraId="0000004B">
            <w:pPr>
              <w:spacing w:line="276" w:lineRule="auto"/>
              <w:ind w:right="0" w:firstLine="141"/>
              <w:jc w:val="both"/>
              <w:rPr>
                <w:b w:val="1"/>
                <w:bCs w:val="1"/>
                <w:i w:val="0"/>
                <w:iCs w:val="0"/>
                <w:smallCaps w:val="0"/>
                <w:strike w:val="0"/>
                <w:color w:val="000000"/>
                <w:sz w:val="24"/>
                <w:szCs w:val="24"/>
                <w:highlight w:val="white"/>
                <w:u w:val="none"/>
                <w:vertAlign w:val="baseline"/>
              </w:rPr>
            </w:pPr>
            <w:r w:rsidDel="00000000" w:rsidR="00000000" w:rsidRPr="00000000">
              <w:rPr>
                <w:sz w:val="24"/>
                <w:szCs w:val="24"/>
                <w:rtl w:val="0"/>
              </w:rPr>
              <w:t xml:space="preserve">СОД, що має намір бути акредитованим у Банку, не може бути пов’язаним через керівництво, власників чи кінцевих бенефіціарних власників з будь-яким СОД/Аутсорсером, що вже має акредитацію в Банку</w:t>
            </w:r>
            <w:r w:rsidDel="00000000" w:rsidR="00000000" w:rsidRPr="00000000">
              <w:rPr>
                <w:rtl w:val="0"/>
              </w:rPr>
            </w:r>
          </w:p>
        </w:tc>
        <w:tc>
          <w:tcPr>
            <w:vAlign w:val="center"/>
          </w:tcPr>
          <w:p w:rsidR="00000000" w:rsidDel="00000000" w:rsidP="00000000" w:rsidRDefault="00000000" w:rsidRPr="00000000" w14:paraId="0000004C">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bCs w:val="1"/>
                <w:i w:val="0"/>
                <w:iCs w:val="0"/>
                <w:smallCaps w:val="0"/>
                <w:strike w:val="0"/>
                <w:color w:val="000000"/>
                <w:sz w:val="24"/>
                <w:szCs w:val="24"/>
                <w:highlight w:val="white"/>
                <w:u w:val="none"/>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D">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i w:val="0"/>
                <w:iCs w:val="0"/>
                <w:smallCaps w:val="0"/>
                <w:strike w:val="0"/>
                <w:color w:val="000000"/>
                <w:sz w:val="24"/>
                <w:szCs w:val="24"/>
                <w:highlight w:val="white"/>
                <w:u w:val="none"/>
                <w:vertAlign w:val="baseline"/>
              </w:rPr>
            </w:pPr>
            <w:r w:rsidDel="00000000" w:rsidR="00000000" w:rsidRPr="00000000">
              <w:rPr>
                <w:sz w:val="24"/>
                <w:szCs w:val="24"/>
                <w:highlight w:val="white"/>
                <w:rtl w:val="0"/>
              </w:rPr>
              <w:t xml:space="preserve">13</w:t>
            </w:r>
            <w:r w:rsidDel="00000000" w:rsidR="00000000" w:rsidRPr="00000000">
              <w:rPr>
                <w:rtl w:val="0"/>
              </w:rPr>
            </w:r>
          </w:p>
        </w:tc>
        <w:tc>
          <w:tcPr>
            <w:vAlign w:val="center"/>
          </w:tcPr>
          <w:p w:rsidR="00000000" w:rsidDel="00000000" w:rsidP="00000000" w:rsidRDefault="00000000" w:rsidRPr="00000000" w14:paraId="0000004E">
            <w:pPr>
              <w:spacing w:line="276" w:lineRule="auto"/>
              <w:ind w:right="0" w:firstLine="141"/>
              <w:jc w:val="both"/>
              <w:rPr>
                <w:b w:val="1"/>
                <w:bCs w:val="1"/>
                <w:i w:val="0"/>
                <w:iCs w:val="0"/>
                <w:smallCaps w:val="0"/>
                <w:strike w:val="0"/>
                <w:color w:val="000000"/>
                <w:sz w:val="24"/>
                <w:szCs w:val="24"/>
                <w:highlight w:val="white"/>
                <w:u w:val="none"/>
                <w:vertAlign w:val="baseline"/>
              </w:rPr>
            </w:pPr>
            <w:r w:rsidDel="00000000" w:rsidR="00000000" w:rsidRPr="00000000">
              <w:rPr>
                <w:sz w:val="24"/>
                <w:szCs w:val="24"/>
                <w:rtl w:val="0"/>
              </w:rPr>
              <w:t xml:space="preserve">Керівництво, власники та кінцеві бенефіціарні власники СОД не можуть бути працівниками, керівниками Банку та\або їх близькими особами, та\або юридичною особою (афілійованою), пов'язаною з такими фізичними особами через володіння ними істотною участю в таких юридичних особах або незалежно від формального володіння можливість значного впливу на управління чи діяльність такої юридичної особи, при цьому особа визнається власником опосередкованої істотної участі незалежно від того, чи здійснює така особа контроль прямого власника участі в юридичній особі або контроль будь-якої іншої особи в ланцюгу володіння корпоративними правами такої юридичної особи</w:t>
            </w:r>
            <w:r w:rsidDel="00000000" w:rsidR="00000000" w:rsidRPr="00000000">
              <w:rPr>
                <w:rtl w:val="0"/>
              </w:rPr>
            </w:r>
          </w:p>
        </w:tc>
        <w:tc>
          <w:tcPr>
            <w:vAlign w:val="center"/>
          </w:tcPr>
          <w:p w:rsidR="00000000" w:rsidDel="00000000" w:rsidP="00000000" w:rsidRDefault="00000000" w:rsidRPr="00000000" w14:paraId="0000004F">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bCs w:val="1"/>
                <w:i w:val="0"/>
                <w:iCs w:val="0"/>
                <w:smallCaps w:val="0"/>
                <w:strike w:val="0"/>
                <w:color w:val="000000"/>
                <w:sz w:val="24"/>
                <w:szCs w:val="24"/>
                <w:highlight w:val="white"/>
                <w:u w:val="none"/>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0">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i w:val="0"/>
                <w:iCs w:val="0"/>
                <w:smallCaps w:val="0"/>
                <w:strike w:val="0"/>
                <w:color w:val="000000"/>
                <w:sz w:val="24"/>
                <w:szCs w:val="24"/>
                <w:highlight w:val="white"/>
                <w:u w:val="none"/>
                <w:vertAlign w:val="baseline"/>
              </w:rPr>
            </w:pPr>
            <w:r w:rsidDel="00000000" w:rsidR="00000000" w:rsidRPr="00000000">
              <w:rPr>
                <w:sz w:val="24"/>
                <w:szCs w:val="24"/>
                <w:highlight w:val="white"/>
                <w:rtl w:val="0"/>
              </w:rPr>
              <w:t xml:space="preserve">14</w:t>
            </w:r>
            <w:r w:rsidDel="00000000" w:rsidR="00000000" w:rsidRPr="00000000">
              <w:rPr>
                <w:rtl w:val="0"/>
              </w:rPr>
            </w:r>
          </w:p>
        </w:tc>
        <w:tc>
          <w:tcPr>
            <w:vAlign w:val="center"/>
          </w:tcPr>
          <w:p w:rsidR="00000000" w:rsidDel="00000000" w:rsidP="00000000" w:rsidRDefault="00000000" w:rsidRPr="00000000" w14:paraId="00000051">
            <w:pPr>
              <w:spacing w:line="276" w:lineRule="auto"/>
              <w:ind w:right="0" w:firstLine="141"/>
              <w:jc w:val="both"/>
              <w:rPr>
                <w:b w:val="1"/>
                <w:bCs w:val="1"/>
                <w:i w:val="0"/>
                <w:iCs w:val="0"/>
                <w:smallCaps w:val="0"/>
                <w:strike w:val="0"/>
                <w:color w:val="000000"/>
                <w:sz w:val="24"/>
                <w:szCs w:val="24"/>
                <w:highlight w:val="white"/>
                <w:u w:val="none"/>
                <w:vertAlign w:val="baseline"/>
              </w:rPr>
            </w:pPr>
            <w:r w:rsidDel="00000000" w:rsidR="00000000" w:rsidRPr="00000000">
              <w:rPr>
                <w:sz w:val="24"/>
                <w:szCs w:val="24"/>
                <w:rtl w:val="0"/>
              </w:rPr>
              <w:t xml:space="preserve">Керівниками, власниками та кінцевими бенефіціарними власниками СОД не можуть бути особи, визнані кінцевими бенефіціарними власниками Банку та належали до керівництва Банку, та асоційованих з ними осіб, інших пов'язаних з банком осіб, які визнавалися такими безпосередньо до моменту набуття державою права власності на акції Банку, що складають 100% його статутного капіталу відповідно до Постанови Кабінету Міністрів України № 961 від 18.12.2016 р., в тому числі й компаній, кінцевими бенефіціарними власниками яких є вищезазначені особи та асоційовані з ними</w:t>
            </w:r>
            <w:r w:rsidDel="00000000" w:rsidR="00000000" w:rsidRPr="00000000">
              <w:rPr>
                <w:rtl w:val="0"/>
              </w:rPr>
            </w:r>
          </w:p>
        </w:tc>
        <w:tc>
          <w:tcPr>
            <w:vAlign w:val="center"/>
          </w:tcPr>
          <w:p w:rsidR="00000000" w:rsidDel="00000000" w:rsidP="00000000" w:rsidRDefault="00000000" w:rsidRPr="00000000" w14:paraId="00000052">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bCs w:val="1"/>
                <w:i w:val="0"/>
                <w:iCs w:val="0"/>
                <w:smallCaps w:val="0"/>
                <w:strike w:val="0"/>
                <w:color w:val="000000"/>
                <w:sz w:val="24"/>
                <w:szCs w:val="24"/>
                <w:highlight w:val="white"/>
                <w:u w:val="none"/>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3">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i w:val="0"/>
                <w:iCs w:val="0"/>
                <w:smallCaps w:val="0"/>
                <w:strike w:val="0"/>
                <w:color w:val="000000"/>
                <w:sz w:val="24"/>
                <w:szCs w:val="24"/>
                <w:highlight w:val="white"/>
                <w:u w:val="none"/>
                <w:vertAlign w:val="baseline"/>
              </w:rPr>
            </w:pPr>
            <w:r w:rsidDel="00000000" w:rsidR="00000000" w:rsidRPr="00000000">
              <w:rPr>
                <w:sz w:val="24"/>
                <w:szCs w:val="24"/>
                <w:highlight w:val="white"/>
                <w:rtl w:val="0"/>
              </w:rPr>
              <w:t xml:space="preserve">15</w:t>
            </w:r>
            <w:r w:rsidDel="00000000" w:rsidR="00000000" w:rsidRPr="00000000">
              <w:rPr>
                <w:rtl w:val="0"/>
              </w:rPr>
            </w:r>
          </w:p>
        </w:tc>
        <w:tc>
          <w:tcPr>
            <w:vAlign w:val="top"/>
          </w:tcPr>
          <w:p w:rsidR="00000000" w:rsidDel="00000000" w:rsidP="00000000" w:rsidRDefault="00000000" w:rsidRPr="00000000" w14:paraId="00000054">
            <w:pPr>
              <w:spacing w:line="276" w:lineRule="auto"/>
              <w:ind w:right="0" w:firstLine="141"/>
              <w:jc w:val="both"/>
              <w:rPr>
                <w:i w:val="0"/>
                <w:iCs w:val="0"/>
                <w:smallCaps w:val="0"/>
                <w:strike w:val="0"/>
                <w:color w:val="000000"/>
                <w:sz w:val="24"/>
                <w:szCs w:val="24"/>
                <w:highlight w:val="white"/>
                <w:u w:val="none"/>
                <w:vertAlign w:val="baseline"/>
              </w:rPr>
            </w:pPr>
            <w:r w:rsidDel="00000000" w:rsidR="00000000" w:rsidRPr="00000000">
              <w:rPr>
                <w:sz w:val="24"/>
                <w:szCs w:val="24"/>
                <w:rtl w:val="0"/>
              </w:rPr>
              <w:t xml:space="preserve">СОД повинен забезпечити безперервність діяльності у разі втрати централізованого електропостачання (наявність приладів, що можуть забезпечити безперебійне електроживлення: генератори, джерела автономного живлення, павербанки, зарядні станції, акумулятори) протягом 1 робочого дня від моменту такої втрати</w:t>
            </w:r>
            <w:r w:rsidDel="00000000" w:rsidR="00000000" w:rsidRPr="00000000">
              <w:rPr>
                <w:rtl w:val="0"/>
              </w:rPr>
            </w:r>
          </w:p>
        </w:tc>
        <w:tc>
          <w:tcPr>
            <w:vAlign w:val="top"/>
          </w:tcPr>
          <w:p w:rsidR="00000000" w:rsidDel="00000000" w:rsidP="00000000" w:rsidRDefault="00000000" w:rsidRPr="00000000" w14:paraId="00000055">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i w:val="0"/>
                <w:iCs w:val="0"/>
                <w:smallCaps w:val="0"/>
                <w:strike w:val="0"/>
                <w:color w:val="000000"/>
                <w:sz w:val="24"/>
                <w:szCs w:val="24"/>
                <w:highlight w:val="white"/>
                <w:u w:val="none"/>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6">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i w:val="0"/>
                <w:iCs w:val="0"/>
                <w:smallCaps w:val="0"/>
                <w:strike w:val="0"/>
                <w:color w:val="000000"/>
                <w:sz w:val="24"/>
                <w:szCs w:val="24"/>
                <w:highlight w:val="white"/>
                <w:u w:val="none"/>
                <w:vertAlign w:val="baseline"/>
              </w:rPr>
            </w:pPr>
            <w:r w:rsidDel="00000000" w:rsidR="00000000" w:rsidRPr="00000000">
              <w:rPr>
                <w:sz w:val="24"/>
                <w:szCs w:val="24"/>
                <w:highlight w:val="white"/>
                <w:rtl w:val="0"/>
              </w:rPr>
              <w:t xml:space="preserve">16</w:t>
            </w:r>
            <w:r w:rsidDel="00000000" w:rsidR="00000000" w:rsidRPr="00000000">
              <w:rPr>
                <w:rtl w:val="0"/>
              </w:rPr>
            </w:r>
          </w:p>
        </w:tc>
        <w:tc>
          <w:tcPr>
            <w:vAlign w:val="top"/>
          </w:tcPr>
          <w:p w:rsidR="00000000" w:rsidDel="00000000" w:rsidP="00000000" w:rsidRDefault="00000000" w:rsidRPr="00000000" w14:paraId="00000057">
            <w:pPr>
              <w:spacing w:line="276" w:lineRule="auto"/>
              <w:ind w:right="0" w:firstLine="141"/>
              <w:jc w:val="both"/>
              <w:rPr>
                <w:sz w:val="24"/>
                <w:szCs w:val="24"/>
              </w:rPr>
            </w:pPr>
            <w:r w:rsidDel="00000000" w:rsidR="00000000" w:rsidRPr="00000000">
              <w:rPr>
                <w:sz w:val="24"/>
                <w:szCs w:val="24"/>
                <w:rtl w:val="0"/>
              </w:rPr>
              <w:t xml:space="preserve"> СОД повинен забезпечити безперервність діяльності у разі відсутності постійного доступу до засобів зв’язку та мережі інтернет (наявність супутникового інтернету/резервних лінії інтернету/ пасивні технології оптичних мереж доступу тощо).</w:t>
            </w:r>
          </w:p>
          <w:p w:rsidR="00000000" w:rsidDel="00000000" w:rsidP="00000000" w:rsidRDefault="00000000" w:rsidRPr="00000000" w14:paraId="00000058">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sz w:val="24"/>
                <w:szCs w:val="24"/>
                <w:highlight w:val="white"/>
              </w:rPr>
            </w:pPr>
            <w:r w:rsidDel="00000000" w:rsidR="00000000" w:rsidRPr="00000000">
              <w:rPr>
                <w:rtl w:val="0"/>
              </w:rPr>
            </w:r>
          </w:p>
        </w:tc>
        <w:tc>
          <w:tcPr>
            <w:vAlign w:val="top"/>
          </w:tcPr>
          <w:p w:rsidR="00000000" w:rsidDel="00000000" w:rsidP="00000000" w:rsidRDefault="00000000" w:rsidRPr="00000000" w14:paraId="00000059">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i w:val="0"/>
                <w:iCs w:val="0"/>
                <w:smallCaps w:val="0"/>
                <w:strike w:val="0"/>
                <w:color w:val="000000"/>
                <w:sz w:val="24"/>
                <w:szCs w:val="24"/>
                <w:highlight w:val="white"/>
                <w:u w:val="none"/>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A">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i w:val="0"/>
                <w:iCs w:val="0"/>
                <w:smallCaps w:val="0"/>
                <w:strike w:val="0"/>
                <w:color w:val="000000"/>
                <w:sz w:val="24"/>
                <w:szCs w:val="24"/>
                <w:highlight w:val="white"/>
                <w:u w:val="none"/>
                <w:vertAlign w:val="baseline"/>
              </w:rPr>
            </w:pPr>
            <w:r w:rsidDel="00000000" w:rsidR="00000000" w:rsidRPr="00000000">
              <w:rPr>
                <w:sz w:val="24"/>
                <w:szCs w:val="24"/>
                <w:highlight w:val="white"/>
                <w:rtl w:val="0"/>
              </w:rPr>
              <w:t xml:space="preserve">17</w:t>
            </w:r>
            <w:r w:rsidDel="00000000" w:rsidR="00000000" w:rsidRPr="00000000">
              <w:rPr>
                <w:rtl w:val="0"/>
              </w:rPr>
            </w:r>
          </w:p>
        </w:tc>
        <w:tc>
          <w:tcPr>
            <w:vAlign w:val="top"/>
          </w:tcPr>
          <w:p w:rsidR="00000000" w:rsidDel="00000000" w:rsidP="00000000" w:rsidRDefault="00000000" w:rsidRPr="00000000" w14:paraId="0000005B">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283.46456692913375" w:right="0" w:firstLine="0"/>
              <w:jc w:val="left"/>
              <w:rPr>
                <w:i w:val="0"/>
                <w:iCs w:val="0"/>
                <w:smallCaps w:val="0"/>
                <w:strike w:val="0"/>
                <w:color w:val="000000"/>
                <w:sz w:val="24"/>
                <w:szCs w:val="24"/>
                <w:highlight w:val="white"/>
                <w:u w:val="none"/>
                <w:vertAlign w:val="baseline"/>
              </w:rPr>
            </w:pPr>
            <w:r w:rsidDel="00000000" w:rsidR="00000000" w:rsidRPr="00000000">
              <w:rPr>
                <w:sz w:val="24"/>
                <w:szCs w:val="24"/>
                <w:highlight w:val="white"/>
                <w:rtl w:val="0"/>
              </w:rPr>
              <w:t xml:space="preserve">СОД повинен мати </w:t>
            </w:r>
            <w:r w:rsidDel="00000000" w:rsidR="00000000" w:rsidRPr="00000000">
              <w:rPr>
                <w:sz w:val="24"/>
                <w:szCs w:val="24"/>
                <w:rtl w:val="0"/>
              </w:rPr>
              <w:t xml:space="preserve"> поточний рахунок у Банку</w:t>
            </w:r>
            <w:r w:rsidDel="00000000" w:rsidR="00000000" w:rsidRPr="00000000">
              <w:rPr>
                <w:rtl w:val="0"/>
              </w:rPr>
            </w:r>
          </w:p>
        </w:tc>
        <w:tc>
          <w:tcPr>
            <w:vAlign w:val="top"/>
          </w:tcPr>
          <w:p w:rsidR="00000000" w:rsidDel="00000000" w:rsidP="00000000" w:rsidRDefault="00000000" w:rsidRPr="00000000" w14:paraId="0000005C">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i w:val="0"/>
                <w:iCs w:val="0"/>
                <w:smallCaps w:val="0"/>
                <w:strike w:val="0"/>
                <w:color w:val="000000"/>
                <w:sz w:val="24"/>
                <w:szCs w:val="24"/>
                <w:highlight w:val="white"/>
                <w:u w:val="none"/>
                <w:vertAlign w:val="baseline"/>
              </w:rPr>
            </w:pPr>
            <w:r w:rsidDel="00000000" w:rsidR="00000000" w:rsidRPr="00000000">
              <w:rPr>
                <w:rtl w:val="0"/>
              </w:rPr>
            </w:r>
          </w:p>
        </w:tc>
      </w:tr>
    </w:tbl>
    <w:p w:rsidR="00000000" w:rsidDel="00000000" w:rsidP="00000000" w:rsidRDefault="00000000" w:rsidRPr="00000000" w14:paraId="0000005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tabs>
          <w:tab w:val="left" w:leader="none" w:pos="1276"/>
        </w:tabs>
        <w:spacing w:after="0" w:before="0" w:line="240" w:lineRule="auto"/>
        <w:ind w:left="0" w:right="0" w:firstLine="0"/>
        <w:jc w:val="left"/>
        <w:rPr>
          <w:rFonts w:ascii="Tahoma" w:cs="Tahoma" w:eastAsia="Tahoma" w:hAnsi="Tahoma"/>
          <w:b w:val="0"/>
          <w:bCs w:val="0"/>
          <w:i w:val="0"/>
          <w:iCs w:val="0"/>
          <w:smallCaps w:val="0"/>
          <w:strike w:val="0"/>
          <w:color w:val="000000"/>
          <w:sz w:val="18"/>
          <w:szCs w:val="18"/>
          <w:highlight w:val="white"/>
          <w:u w:val="none"/>
          <w:vertAlign w:val="baseline"/>
        </w:rPr>
      </w:pPr>
      <w:r w:rsidDel="00000000" w:rsidR="00000000" w:rsidRPr="00000000">
        <w:rPr>
          <w:rFonts w:ascii="Tahoma" w:cs="Tahoma" w:eastAsia="Tahoma" w:hAnsi="Tahoma"/>
          <w:b w:val="0"/>
          <w:bCs w:val="0"/>
          <w:i w:val="0"/>
          <w:iCs w:val="0"/>
          <w:smallCaps w:val="0"/>
          <w:strike w:val="0"/>
          <w:color w:val="000000"/>
          <w:sz w:val="18"/>
          <w:szCs w:val="18"/>
          <w:highlight w:val="white"/>
          <w:u w:val="none"/>
          <w:vertAlign w:val="baseline"/>
          <w:rtl w:val="0"/>
        </w:rPr>
        <w:tab/>
        <w:tab/>
        <w:t xml:space="preserve">                      </w:t>
      </w:r>
    </w:p>
    <w:p w:rsidR="00000000" w:rsidDel="00000000" w:rsidP="00000000" w:rsidRDefault="00000000" w:rsidRPr="00000000" w14:paraId="0000005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76" w:lineRule="auto"/>
        <w:ind w:left="0" w:right="0" w:firstLine="0"/>
        <w:jc w:val="right"/>
        <w:rPr>
          <w:sz w:val="24"/>
          <w:szCs w:val="24"/>
          <w:highlight w:val="white"/>
        </w:rPr>
      </w:pPr>
      <w:r w:rsidDel="00000000" w:rsidR="00000000" w:rsidRPr="00000000">
        <w:rPr>
          <w:rtl w:val="0"/>
        </w:rPr>
      </w:r>
    </w:p>
    <w:tbl>
      <w:tblPr>
        <w:tblStyle w:val="Table2"/>
        <w:tblW w:w="10980.0" w:type="dxa"/>
        <w:jc w:val="left"/>
        <w:tblInd w:w="-555.0" w:type="dxa"/>
        <w:tblLayout w:type="fixed"/>
        <w:tblLook w:val="0600"/>
      </w:tblPr>
      <w:tblGrid>
        <w:gridCol w:w="3585"/>
        <w:gridCol w:w="7395"/>
        <w:tblGridChange w:id="0">
          <w:tblGrid>
            <w:gridCol w:w="3585"/>
            <w:gridCol w:w="73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pBdr>
              <w:shd w:fill="ffffff" w:val="clear"/>
              <w:tabs>
                <w:tab w:val="left" w:leader="none" w:pos="1276"/>
              </w:tabs>
              <w:spacing w:line="276" w:lineRule="auto"/>
              <w:rPr>
                <w:sz w:val="24"/>
                <w:szCs w:val="24"/>
                <w:highlight w:val="white"/>
              </w:rPr>
            </w:pPr>
            <w:r w:rsidDel="00000000" w:rsidR="00000000" w:rsidRPr="00000000">
              <w:rPr>
                <w:rFonts w:ascii="Tahoma" w:cs="Tahoma" w:eastAsia="Tahoma" w:hAnsi="Tahoma"/>
                <w:sz w:val="24"/>
                <w:szCs w:val="24"/>
                <w:highlight w:val="white"/>
                <w:rtl w:val="0"/>
              </w:rPr>
              <w:t xml:space="preserve">“__”  _________  20__р.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pBdr>
              <w:shd w:fill="ffffff" w:val="clear"/>
              <w:spacing w:line="276" w:lineRule="auto"/>
              <w:rPr>
                <w:sz w:val="24"/>
                <w:szCs w:val="24"/>
                <w:highlight w:val="white"/>
              </w:rPr>
            </w:pPr>
            <w:r w:rsidDel="00000000" w:rsidR="00000000" w:rsidRPr="00000000">
              <w:rPr>
                <w:sz w:val="24"/>
                <w:szCs w:val="24"/>
                <w:highlight w:val="white"/>
                <w:rtl w:val="0"/>
              </w:rPr>
              <w:t xml:space="preserve">Ознайомлений:</w:t>
            </w:r>
          </w:p>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pBdr>
              <w:shd w:fill="ffffff" w:val="clear"/>
              <w:tabs>
                <w:tab w:val="left" w:leader="none" w:pos="1276"/>
              </w:tabs>
              <w:spacing w:line="240" w:lineRule="auto"/>
              <w:jc w:val="center"/>
              <w:rPr>
                <w:sz w:val="24"/>
                <w:szCs w:val="24"/>
                <w:highlight w:val="white"/>
              </w:rPr>
            </w:pPr>
            <w:r w:rsidDel="00000000" w:rsidR="00000000" w:rsidRPr="00000000">
              <w:rPr>
                <w:rFonts w:ascii="Tahoma" w:cs="Tahoma" w:eastAsia="Tahoma" w:hAnsi="Tahoma"/>
                <w:sz w:val="18"/>
                <w:szCs w:val="18"/>
                <w:highlight w:val="white"/>
                <w:rtl w:val="0"/>
              </w:rPr>
              <w:t xml:space="preserve">_______________________________________________________________________    </w:t>
            </w:r>
            <w:r w:rsidDel="00000000" w:rsidR="00000000" w:rsidRPr="00000000">
              <w:rPr>
                <w:rFonts w:ascii="Tahoma" w:cs="Tahoma" w:eastAsia="Tahoma" w:hAnsi="Tahoma"/>
                <w:sz w:val="12"/>
                <w:szCs w:val="12"/>
                <w:highlight w:val="white"/>
                <w:rtl w:val="0"/>
              </w:rPr>
              <w:t xml:space="preserve">Посада, ПІБ</w:t>
            </w:r>
            <w:r w:rsidDel="00000000" w:rsidR="00000000" w:rsidRPr="00000000">
              <w:rPr>
                <w:rFonts w:ascii="Tahoma" w:cs="Tahoma" w:eastAsia="Tahoma" w:hAnsi="Tahoma"/>
                <w:sz w:val="18"/>
                <w:szCs w:val="18"/>
                <w:highlight w:val="white"/>
                <w:rtl w:val="0"/>
              </w:rPr>
              <w:tab/>
            </w:r>
            <w:r w:rsidDel="00000000" w:rsidR="00000000" w:rsidRPr="00000000">
              <w:rPr>
                <w:rFonts w:ascii="Tahoma" w:cs="Tahoma" w:eastAsia="Tahoma" w:hAnsi="Tahoma"/>
                <w:sz w:val="12"/>
                <w:szCs w:val="12"/>
                <w:highlight w:val="white"/>
                <w:rtl w:val="0"/>
              </w:rPr>
              <w:t xml:space="preserve">                     м.п.</w:t>
            </w:r>
            <w:r w:rsidDel="00000000" w:rsidR="00000000" w:rsidRPr="00000000">
              <w:rPr>
                <w:rtl w:val="0"/>
              </w:rPr>
            </w:r>
          </w:p>
        </w:tc>
      </w:tr>
    </w:tbl>
    <w:p w:rsidR="00000000" w:rsidDel="00000000" w:rsidP="00000000" w:rsidRDefault="00000000" w:rsidRPr="00000000" w14:paraId="0000006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76" w:lineRule="auto"/>
        <w:ind w:left="0" w:right="0" w:firstLine="0"/>
        <w:jc w:val="right"/>
        <w:rPr>
          <w:sz w:val="24"/>
          <w:szCs w:val="24"/>
          <w:highlight w:val="white"/>
        </w:rPr>
      </w:pPr>
      <w:r w:rsidDel="00000000" w:rsidR="00000000" w:rsidRPr="00000000">
        <w:rPr>
          <w:rtl w:val="0"/>
        </w:rPr>
      </w:r>
    </w:p>
    <w:sectPr>
      <w:pgSz w:h="16838" w:w="11906" w:orient="portrait"/>
      <w:pgMar w:bottom="0" w:top="566" w:left="1133" w:right="56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