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Кваліфікаційні та інші вимоги до суб'єктів оціночної діяльності </w:t>
      </w:r>
      <w:r w:rsidDel="00000000" w:rsidR="00000000" w:rsidRPr="00000000">
        <w:rPr>
          <w:rtl w:val="0"/>
        </w:rPr>
      </w:r>
    </w:p>
    <w:tbl>
      <w:tblPr>
        <w:tblStyle w:val="Table1"/>
        <w:tblW w:w="1087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
        <w:gridCol w:w="8655"/>
        <w:gridCol w:w="1710"/>
        <w:tblGridChange w:id="0">
          <w:tblGrid>
            <w:gridCol w:w="510"/>
            <w:gridCol w:w="8655"/>
            <w:gridCol w:w="1710"/>
          </w:tblGrid>
        </w:tblGridChange>
      </w:tblGrid>
      <w:tr>
        <w:trPr>
          <w:cantSplit w:val="0"/>
          <w:tblHeader w:val="0"/>
        </w:trPr>
        <w:tc>
          <w:tcPr>
            <w:vAlign w:val="center"/>
          </w:tcPr>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w:t>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b w:val="1"/>
                <w:i w:val="0"/>
                <w:smallCaps w:val="0"/>
                <w:strike w:val="0"/>
                <w:color w:val="000000"/>
                <w:sz w:val="24"/>
                <w:szCs w:val="24"/>
                <w:highlight w:val="white"/>
                <w:u w:val="none"/>
                <w:vertAlign w:val="baseline"/>
                <w:rtl w:val="0"/>
              </w:rPr>
              <w:t xml:space="preserve">Вимоги</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b w:val="1"/>
                <w:i w:val="0"/>
                <w:smallCaps w:val="0"/>
                <w:strike w:val="0"/>
                <w:color w:val="000000"/>
                <w:sz w:val="24"/>
                <w:szCs w:val="24"/>
                <w:highlight w:val="white"/>
                <w:u w:val="none"/>
                <w:vertAlign w:val="baseline"/>
                <w:rtl w:val="0"/>
              </w:rPr>
              <w:t xml:space="preserve">Відповідність  вимогам (вказати так/ні)</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w:t>
            </w:r>
            <w:r w:rsidDel="00000000" w:rsidR="00000000" w:rsidRPr="00000000">
              <w:rPr>
                <w:rtl w:val="0"/>
              </w:rPr>
            </w:r>
          </w:p>
        </w:tc>
        <w:tc>
          <w:tcPr>
            <w:vAlign w:val="center"/>
          </w:tcPr>
          <w:p w:rsidR="00000000" w:rsidDel="00000000" w:rsidP="00000000" w:rsidRDefault="00000000" w:rsidRPr="00000000" w14:paraId="00000006">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С</w:t>
            </w:r>
            <w:r w:rsidDel="00000000" w:rsidR="00000000" w:rsidRPr="00000000">
              <w:rPr>
                <w:sz w:val="24"/>
                <w:szCs w:val="24"/>
                <w:highlight w:val="white"/>
                <w:rtl w:val="0"/>
              </w:rPr>
              <w:t xml:space="preserve">уб'єкта оціночної діяльності (надалі СОД)</w:t>
            </w:r>
            <w:r w:rsidDel="00000000" w:rsidR="00000000" w:rsidRPr="00000000">
              <w:rPr>
                <w:sz w:val="24"/>
                <w:szCs w:val="24"/>
                <w:rtl w:val="0"/>
              </w:rPr>
              <w:t xml:space="preserve"> включений до Державного реєстру оцінювачів та суб'єктів оціночної діяльності</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2</w:t>
            </w:r>
            <w:r w:rsidDel="00000000" w:rsidR="00000000" w:rsidRPr="00000000">
              <w:rPr>
                <w:rtl w:val="0"/>
              </w:rPr>
            </w:r>
          </w:p>
        </w:tc>
        <w:tc>
          <w:tcPr>
            <w:vAlign w:val="center"/>
          </w:tcPr>
          <w:p w:rsidR="00000000" w:rsidDel="00000000" w:rsidP="00000000" w:rsidRDefault="00000000" w:rsidRPr="00000000" w14:paraId="00000009">
            <w:pPr>
              <w:spacing w:line="276" w:lineRule="auto"/>
              <w:ind w:right="0" w:firstLine="141"/>
              <w:jc w:val="both"/>
              <w:rPr>
                <w:b w:val="1"/>
                <w:sz w:val="24"/>
                <w:szCs w:val="24"/>
                <w:highlight w:val="white"/>
              </w:rPr>
            </w:pPr>
            <w:r w:rsidDel="00000000" w:rsidR="00000000" w:rsidRPr="00000000">
              <w:rPr>
                <w:sz w:val="24"/>
                <w:szCs w:val="24"/>
                <w:highlight w:val="white"/>
                <w:rtl w:val="0"/>
              </w:rPr>
              <w:t xml:space="preserve">СОД має чинний</w:t>
            </w:r>
            <w:r w:rsidDel="00000000" w:rsidR="00000000" w:rsidRPr="00000000">
              <w:rPr>
                <w:sz w:val="24"/>
                <w:szCs w:val="24"/>
                <w:rtl w:val="0"/>
              </w:rPr>
              <w:t xml:space="preserve"> чинного сертифіката за напрямами оцінки майна, щодо яких дозволена практична діяльність з оцінки визначених видів забезпечення:</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pBdr>
              <w:shd w:fill="ffffff" w:val="clear"/>
              <w:ind w:left="720" w:right="0" w:hanging="360"/>
              <w:rPr>
                <w:sz w:val="24"/>
                <w:szCs w:val="24"/>
                <w:highlight w:val="white"/>
              </w:rPr>
            </w:pPr>
            <w:r w:rsidDel="00000000" w:rsidR="00000000" w:rsidRPr="00000000">
              <w:rPr>
                <w:sz w:val="24"/>
                <w:szCs w:val="24"/>
                <w:highlight w:val="white"/>
                <w:rtl w:val="0"/>
              </w:rPr>
              <w:t xml:space="preserve">Оцінка об'єктів у матеріальній формі:</w:t>
            </w:r>
          </w:p>
        </w:tc>
        <w:tc>
          <w:tcPr>
            <w:vAlign w:val="center"/>
          </w:tcPr>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shd w:fill="ffffff" w:val="clear"/>
              <w:ind w:right="0"/>
              <w:rPr>
                <w:sz w:val="24"/>
                <w:szCs w:val="24"/>
                <w:highlight w:val="white"/>
              </w:rPr>
            </w:pPr>
            <w:r w:rsidDel="00000000" w:rsidR="00000000" w:rsidRPr="00000000">
              <w:rPr>
                <w:sz w:val="24"/>
                <w:szCs w:val="24"/>
                <w:highlight w:val="white"/>
                <w:rtl w:val="0"/>
              </w:rPr>
              <w:t xml:space="preserve">1.1 "Оцінка нерухомих речей (нерухомого майна, нерухомості), у тому числі земельних ділянок, та майнових прав на них"</w:t>
            </w:r>
          </w:p>
        </w:tc>
        <w:tc>
          <w:tcPr>
            <w:vAlign w:val="center"/>
          </w:tcPr>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1.2 "Оцінка машин і обладнання"</w:t>
            </w:r>
          </w:p>
        </w:tc>
        <w:tc>
          <w:tcPr>
            <w:vAlign w:val="center"/>
          </w:tcPr>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1.3 "Оцінка колісних транспортних засобів"</w:t>
            </w:r>
          </w:p>
        </w:tc>
        <w:tc>
          <w:tcPr>
            <w:vAlign w:val="center"/>
          </w:tcPr>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1.4 "Оцінка літальних апаратів"</w:t>
            </w:r>
          </w:p>
        </w:tc>
        <w:tc>
          <w:tcPr>
            <w:vAlign w:val="center"/>
          </w:tcPr>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1.5 "Оцінка судноплавних засобів"</w:t>
            </w:r>
          </w:p>
        </w:tc>
        <w:tc>
          <w:tcPr>
            <w:vAlign w:val="center"/>
          </w:tcPr>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1.6 "Оцінка рухомих речей, що становлять культурну цінність"</w:t>
            </w:r>
          </w:p>
        </w:tc>
        <w:tc>
          <w:tcPr>
            <w:vAlign w:val="center"/>
          </w:tcPr>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1.7 "Оцінка рухомих речей, крім таких, що віднесені до машин, обладнання колісних транспортних засобів, літальних апаратів, судноплавних засобів, та тих, що становлять культурну цінність"</w:t>
            </w:r>
          </w:p>
        </w:tc>
        <w:tc>
          <w:tcPr>
            <w:vAlign w:val="center"/>
          </w:tcPr>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24">
            <w:pPr>
              <w:numPr>
                <w:ilvl w:val="0"/>
                <w:numId w:val="1"/>
              </w:numPr>
              <w:pBdr>
                <w:top w:color="000000" w:space="0" w:sz="0" w:val="none"/>
                <w:left w:color="000000" w:space="0" w:sz="0" w:val="none"/>
                <w:bottom w:color="000000" w:space="0" w:sz="0" w:val="none"/>
                <w:right w:color="000000" w:space="0" w:sz="0" w:val="none"/>
              </w:pBdr>
              <w:ind w:left="720" w:right="0" w:hanging="360"/>
              <w:rPr>
                <w:sz w:val="24"/>
                <w:szCs w:val="24"/>
                <w:highlight w:val="white"/>
              </w:rPr>
            </w:pPr>
            <w:r w:rsidDel="00000000" w:rsidR="00000000" w:rsidRPr="00000000">
              <w:rPr>
                <w:sz w:val="24"/>
                <w:szCs w:val="24"/>
                <w:highlight w:val="white"/>
                <w:rtl w:val="0"/>
              </w:rPr>
              <w:t xml:space="preserve">"Оцінка цілісних майнових комплексів, паїв, цінних паперів, майнових прав та нематеріальних активів, у тому числі прав на об'єкти інтелектуальної власності":</w:t>
            </w:r>
          </w:p>
        </w:tc>
        <w:tc>
          <w:tcPr>
            <w:vAlign w:val="center"/>
          </w:tcPr>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ind w:right="0"/>
              <w:rPr>
                <w:sz w:val="24"/>
                <w:szCs w:val="24"/>
                <w:highlight w:val="white"/>
              </w:rPr>
            </w:pPr>
            <w:r w:rsidDel="00000000" w:rsidR="00000000" w:rsidRPr="00000000">
              <w:rPr>
                <w:sz w:val="24"/>
                <w:szCs w:val="24"/>
                <w:highlight w:val="white"/>
                <w:rtl w:val="0"/>
              </w:rPr>
              <w:t xml:space="preserve">2.1 "Оцінка цілісних майнових комплексів, паїв, цінних паперів, майнових прав та нематеріальних активів (крім прав на об'єкти інтелектуальної власності)"</w:t>
            </w:r>
          </w:p>
        </w:tc>
        <w:tc>
          <w:tcPr>
            <w:vAlign w:val="center"/>
          </w:tcPr>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shd w:fill="ffffff" w:val="clear"/>
              <w:ind w:right="0"/>
              <w:rPr>
                <w:sz w:val="24"/>
                <w:szCs w:val="24"/>
                <w:highlight w:val="white"/>
              </w:rPr>
            </w:pPr>
            <w:r w:rsidDel="00000000" w:rsidR="00000000" w:rsidRPr="00000000">
              <w:rPr>
                <w:sz w:val="24"/>
                <w:szCs w:val="24"/>
                <w:highlight w:val="white"/>
                <w:rtl w:val="0"/>
              </w:rPr>
              <w:t xml:space="preserve">2.2 "Оцінка прав на об'єкти інтелектуальної власності"</w:t>
            </w:r>
          </w:p>
        </w:tc>
        <w:tc>
          <w:tcPr>
            <w:vAlign w:val="center"/>
          </w:tcPr>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2D">
            <w:pPr>
              <w:numPr>
                <w:ilvl w:val="0"/>
                <w:numId w:val="1"/>
              </w:numPr>
              <w:pBdr>
                <w:top w:color="000000" w:space="0" w:sz="0" w:val="none"/>
                <w:left w:color="000000" w:space="0" w:sz="0" w:val="none"/>
                <w:bottom w:color="000000" w:space="0" w:sz="0" w:val="none"/>
                <w:right w:color="000000" w:space="0" w:sz="0" w:val="none"/>
              </w:pBdr>
              <w:ind w:left="720" w:right="0" w:hanging="360"/>
              <w:rPr>
                <w:sz w:val="24"/>
                <w:szCs w:val="24"/>
                <w:highlight w:val="white"/>
              </w:rPr>
            </w:pPr>
            <w:r w:rsidDel="00000000" w:rsidR="00000000" w:rsidRPr="00000000">
              <w:rPr>
                <w:sz w:val="24"/>
                <w:szCs w:val="24"/>
                <w:highlight w:val="white"/>
                <w:rtl w:val="0"/>
              </w:rPr>
              <w:t xml:space="preserve"> "Оцінка земельних ділянок".</w:t>
            </w:r>
          </w:p>
        </w:tc>
        <w:tc>
          <w:tcPr>
            <w:vAlign w:val="center"/>
          </w:tcPr>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3</w:t>
            </w:r>
            <w:r w:rsidDel="00000000" w:rsidR="00000000" w:rsidRPr="00000000">
              <w:rPr>
                <w:rtl w:val="0"/>
              </w:rPr>
            </w:r>
          </w:p>
        </w:tc>
        <w:tc>
          <w:tcPr>
            <w:vAlign w:val="center"/>
          </w:tcPr>
          <w:p w:rsidR="00000000" w:rsidDel="00000000" w:rsidP="00000000" w:rsidRDefault="00000000" w:rsidRPr="00000000" w14:paraId="00000030">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Суб’єкт оціночної діяльності має </w:t>
            </w:r>
            <w:r w:rsidDel="00000000" w:rsidR="00000000" w:rsidRPr="00000000">
              <w:rPr>
                <w:sz w:val="24"/>
                <w:szCs w:val="24"/>
                <w:rtl w:val="0"/>
              </w:rPr>
              <w:t xml:space="preserve">досвід практичної діяльності на ринку України з оцінки майна не менше ніж п'ять років, з яких не менше ніж три роки за напрямами оцінки майна визначених видів забезпечення</w:t>
            </w: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4</w:t>
            </w:r>
            <w:r w:rsidDel="00000000" w:rsidR="00000000" w:rsidRPr="00000000">
              <w:rPr>
                <w:rtl w:val="0"/>
              </w:rPr>
            </w:r>
          </w:p>
        </w:tc>
        <w:tc>
          <w:tcPr>
            <w:vAlign w:val="center"/>
          </w:tcPr>
          <w:p w:rsidR="00000000" w:rsidDel="00000000" w:rsidP="00000000" w:rsidRDefault="00000000" w:rsidRPr="00000000" w14:paraId="00000033">
            <w:pPr>
              <w:shd w:fill="ffffff" w:val="clear"/>
              <w:spacing w:line="276" w:lineRule="auto"/>
              <w:ind w:right="0" w:firstLine="141"/>
              <w:jc w:val="both"/>
              <w:rPr>
                <w:b w:val="1"/>
                <w:i w:val="0"/>
                <w:smallCaps w:val="0"/>
                <w:strike w:val="0"/>
                <w:color w:val="000000"/>
                <w:sz w:val="24"/>
                <w:szCs w:val="24"/>
                <w:u w:val="none"/>
                <w:vertAlign w:val="baseline"/>
              </w:rPr>
            </w:pPr>
            <w:r w:rsidDel="00000000" w:rsidR="00000000" w:rsidRPr="00000000">
              <w:rPr>
                <w:sz w:val="24"/>
                <w:szCs w:val="24"/>
                <w:rtl w:val="0"/>
              </w:rPr>
              <w:t xml:space="preserve">Досвід практичної діяльності оцінювачів, які виконують оцінку в складі суб'єкта оціночної діяльності, не менше ніж два роки, з яких не менше ніж один рік за напрямами оцінки майна визначених видів забезпечення</w:t>
            </w: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5</w:t>
            </w:r>
            <w:r w:rsidDel="00000000" w:rsidR="00000000" w:rsidRPr="00000000">
              <w:rPr>
                <w:rtl w:val="0"/>
              </w:rPr>
            </w:r>
          </w:p>
        </w:tc>
        <w:tc>
          <w:tcPr>
            <w:vAlign w:val="center"/>
          </w:tcPr>
          <w:p w:rsidR="00000000" w:rsidDel="00000000" w:rsidP="00000000" w:rsidRDefault="00000000" w:rsidRPr="00000000" w14:paraId="00000036">
            <w:pPr>
              <w:shd w:fill="ffffff" w:val="clea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Відсутність упродовж трьох останніх років, що передують даті, на яку здійснюється оцінка кредитного ризику, інформації про суб'єкта оціночної діяльності та оцінювачів, які виконують оцінку в його складі, щодо порушень нормативно-правових актів з оцінки майна, майнових прав та професійної оціночної діяльності в Україні; фактів порушень обмежень щодо проведення оцінки майна, установлених законодавством України; рецензій на звіт про оцінку майна, що класифікується за такою ознакою: “Звіт про оцінку майна не відповідає вимогам нормативно-правових актів з оцінки майна, є неякісним та (або) непрофесійним і не може бути використаний”</w:t>
            </w: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6</w:t>
            </w:r>
            <w:r w:rsidDel="00000000" w:rsidR="00000000" w:rsidRPr="00000000">
              <w:rPr>
                <w:rtl w:val="0"/>
              </w:rPr>
            </w:r>
          </w:p>
        </w:tc>
        <w:tc>
          <w:tcPr>
            <w:vAlign w:val="center"/>
          </w:tcPr>
          <w:p w:rsidR="00000000" w:rsidDel="00000000" w:rsidP="00000000" w:rsidRDefault="00000000" w:rsidRPr="00000000" w14:paraId="00000039">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 В Національному банку України не має інформації про рецензію на звіт про оцінку, що класифікується за ознакою: “Звіт про оцінку майна не відповідає вимогам нормативно-правових актів з оцінки майна, є неякісним та (або) непрофесійним і не може бути використаний”</w:t>
            </w: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7</w:t>
            </w:r>
            <w:r w:rsidDel="00000000" w:rsidR="00000000" w:rsidRPr="00000000">
              <w:rPr>
                <w:rtl w:val="0"/>
              </w:rPr>
            </w:r>
          </w:p>
        </w:tc>
        <w:tc>
          <w:tcPr>
            <w:vAlign w:val="center"/>
          </w:tcPr>
          <w:p w:rsidR="00000000" w:rsidDel="00000000" w:rsidP="00000000" w:rsidRDefault="00000000" w:rsidRPr="00000000" w14:paraId="0000003C">
            <w:pPr>
              <w:spacing w:line="276" w:lineRule="auto"/>
              <w:ind w:right="0" w:firstLine="141"/>
              <w:jc w:val="both"/>
              <w:rPr>
                <w:b w:val="1"/>
                <w:i w:val="0"/>
                <w:smallCaps w:val="0"/>
                <w:strike w:val="0"/>
                <w:color w:val="000000"/>
                <w:sz w:val="24"/>
                <w:szCs w:val="24"/>
                <w:vertAlign w:val="baseline"/>
              </w:rPr>
            </w:pPr>
            <w:r w:rsidDel="00000000" w:rsidR="00000000" w:rsidRPr="00000000">
              <w:rPr>
                <w:sz w:val="24"/>
                <w:szCs w:val="24"/>
                <w:rtl w:val="0"/>
              </w:rPr>
              <w:t xml:space="preserve">Кількість оцінювачів в складі СОД не менше 4 осіб. </w:t>
            </w:r>
            <w:r w:rsidDel="00000000" w:rsidR="00000000" w:rsidRPr="00000000">
              <w:rPr>
                <w:rtl w:val="0"/>
              </w:rPr>
            </w:r>
          </w:p>
        </w:tc>
        <w:tc>
          <w:tcPr>
            <w:vAlign w:val="center"/>
          </w:tcPr>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8</w:t>
            </w:r>
            <w:r w:rsidDel="00000000" w:rsidR="00000000" w:rsidRPr="00000000">
              <w:rPr>
                <w:rtl w:val="0"/>
              </w:rPr>
            </w:r>
          </w:p>
        </w:tc>
        <w:tc>
          <w:tcPr>
            <w:vAlign w:val="center"/>
          </w:tcPr>
          <w:p w:rsidR="00000000" w:rsidDel="00000000" w:rsidP="00000000" w:rsidRDefault="00000000" w:rsidRPr="00000000" w14:paraId="0000003F">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Директор СОД повинен мати досвід роботи в сфері оцінки не менше 5-ти років.</w:t>
            </w:r>
            <w:r w:rsidDel="00000000" w:rsidR="00000000" w:rsidRPr="00000000">
              <w:rPr>
                <w:rtl w:val="0"/>
              </w:rPr>
            </w:r>
          </w:p>
        </w:tc>
        <w:tc>
          <w:tcPr>
            <w:vAlign w:val="center"/>
          </w:tcPr>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9</w:t>
            </w:r>
            <w:r w:rsidDel="00000000" w:rsidR="00000000" w:rsidRPr="00000000">
              <w:rPr>
                <w:rtl w:val="0"/>
              </w:rPr>
            </w:r>
          </w:p>
        </w:tc>
        <w:tc>
          <w:tcPr>
            <w:vAlign w:val="center"/>
          </w:tcPr>
          <w:p w:rsidR="00000000" w:rsidDel="00000000" w:rsidP="00000000" w:rsidRDefault="00000000" w:rsidRPr="00000000" w14:paraId="00000042">
            <w:pPr>
              <w:widowControl w:val="0"/>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 Наявність у складі СОД оцінювачів з експертної грошової оцінки земельних ділянок, які зареєстровані у Державному реєстрі оцінювачів з експертної грошової оцінки земельних ділянок, у разі якщо СОД планує самостійно проводити експертну грошову оцінку земельних ділянок.</w:t>
            </w:r>
            <w:r w:rsidDel="00000000" w:rsidR="00000000" w:rsidRPr="00000000">
              <w:rPr>
                <w:rtl w:val="0"/>
              </w:rPr>
            </w:r>
          </w:p>
        </w:tc>
        <w:tc>
          <w:tcPr>
            <w:vAlign w:val="center"/>
          </w:tcPr>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10</w:t>
            </w:r>
            <w:r w:rsidDel="00000000" w:rsidR="00000000" w:rsidRPr="00000000">
              <w:rPr>
                <w:rtl w:val="0"/>
              </w:rPr>
            </w:r>
          </w:p>
        </w:tc>
        <w:tc>
          <w:tcPr>
            <w:vAlign w:val="center"/>
          </w:tcPr>
          <w:p w:rsidR="00000000" w:rsidDel="00000000" w:rsidP="00000000" w:rsidRDefault="00000000" w:rsidRPr="00000000" w14:paraId="00000045">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Наявність у СОД розгалуженої мережі представництв/представників або філій для забезпечення можливості здійснення оцінки на всій території України (крім непідконтрольних територій)</w:t>
            </w: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11</w:t>
            </w:r>
            <w:r w:rsidDel="00000000" w:rsidR="00000000" w:rsidRPr="00000000">
              <w:rPr>
                <w:rtl w:val="0"/>
              </w:rPr>
            </w:r>
          </w:p>
        </w:tc>
        <w:tc>
          <w:tcPr>
            <w:vAlign w:val="center"/>
          </w:tcPr>
          <w:p w:rsidR="00000000" w:rsidDel="00000000" w:rsidP="00000000" w:rsidRDefault="00000000" w:rsidRPr="00000000" w14:paraId="00000048">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СОД повинен мати досвід співпраці з іншими банками/ державними установами та підприємствами/ корпоративними клієнтами. Досвід співпраці підтверджується рекомендаційними листами, інформацією з відкритих джерел (в тому числі сайти банків), скан-копіями документів (наприклад, договори, які дають змогу встановити факт надання послуг)</w:t>
            </w:r>
            <w:r w:rsidDel="00000000" w:rsidR="00000000" w:rsidRPr="00000000">
              <w:rPr>
                <w:rtl w:val="0"/>
              </w:rPr>
            </w:r>
          </w:p>
        </w:tc>
        <w:tc>
          <w:tcPr>
            <w:vAlign w:val="center"/>
          </w:tcPr>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12</w:t>
            </w:r>
            <w:r w:rsidDel="00000000" w:rsidR="00000000" w:rsidRPr="00000000">
              <w:rPr>
                <w:rtl w:val="0"/>
              </w:rPr>
            </w:r>
          </w:p>
        </w:tc>
        <w:tc>
          <w:tcPr>
            <w:vAlign w:val="center"/>
          </w:tcPr>
          <w:p w:rsidR="00000000" w:rsidDel="00000000" w:rsidP="00000000" w:rsidRDefault="00000000" w:rsidRPr="00000000" w14:paraId="0000004B">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СОД, що має намір бути акредитованим у Банку, не може бути пов’язаним через керівництво, власників чи кінцевих бенефіціарних власників з будь-яким СОД/Аутсорсером, що вже має акредитацію в Банку</w:t>
            </w: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13</w:t>
            </w:r>
            <w:r w:rsidDel="00000000" w:rsidR="00000000" w:rsidRPr="00000000">
              <w:rPr>
                <w:rtl w:val="0"/>
              </w:rPr>
            </w:r>
          </w:p>
        </w:tc>
        <w:tc>
          <w:tcPr>
            <w:vAlign w:val="center"/>
          </w:tcPr>
          <w:p w:rsidR="00000000" w:rsidDel="00000000" w:rsidP="00000000" w:rsidRDefault="00000000" w:rsidRPr="00000000" w14:paraId="0000004E">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Керівництво, власники та кінцеві бенефіціарні власники СОД не можуть бути працівниками, керівниками Банку та\або їх близькими особами, та\або юридичною особою (афілійованою), пов'язаною з такими фізичними особами через володіння ними істотною участю в таких юридичних особах або незалежно від формального володіння можливість значного впливу на управління чи діяльність такої юридичної особи, при цьому особа визнається власником опосередкованої істотної участі незалежно від того, чи здійснює така особа контроль прямого власника участі в юридичній особі або контроль будь-якої іншої особи в ланцюгу володіння корпоративними правами такої юридичної особи</w: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14</w:t>
            </w:r>
            <w:r w:rsidDel="00000000" w:rsidR="00000000" w:rsidRPr="00000000">
              <w:rPr>
                <w:rtl w:val="0"/>
              </w:rPr>
            </w:r>
          </w:p>
        </w:tc>
        <w:tc>
          <w:tcPr>
            <w:vAlign w:val="center"/>
          </w:tcPr>
          <w:p w:rsidR="00000000" w:rsidDel="00000000" w:rsidP="00000000" w:rsidRDefault="00000000" w:rsidRPr="00000000" w14:paraId="00000051">
            <w:pPr>
              <w:spacing w:line="276" w:lineRule="auto"/>
              <w:ind w:right="0" w:firstLine="141"/>
              <w:jc w:val="both"/>
              <w:rPr>
                <w:b w:val="1"/>
                <w:i w:val="0"/>
                <w:smallCaps w:val="0"/>
                <w:strike w:val="0"/>
                <w:color w:val="000000"/>
                <w:sz w:val="24"/>
                <w:szCs w:val="24"/>
                <w:highlight w:val="white"/>
                <w:u w:val="none"/>
                <w:vertAlign w:val="baseline"/>
              </w:rPr>
            </w:pPr>
            <w:r w:rsidDel="00000000" w:rsidR="00000000" w:rsidRPr="00000000">
              <w:rPr>
                <w:sz w:val="24"/>
                <w:szCs w:val="24"/>
                <w:rtl w:val="0"/>
              </w:rPr>
              <w:t xml:space="preserve">Керівниками, власниками та кінцевими бенефіціарними власниками СОД не можуть бути особи, визнані кінцевими бенефіціарними власниками Банку та належали до керівництва Банку, та асоційованих з ними осіб, інших пов'язаних з банком осіб, які визнавалися такими безпосередньо до моменту набуття державою права власності на акції Банку, що складають 100% його статутного капіталу відповідно до Постанови Кабінету Міністрів України № 961 від 18.12.2016 р., в тому числі й компаній, кінцевими бенефіціарними власниками яких є вищезазначені особи та асоційовані з ними</w:t>
            </w: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b w:val="1"/>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15</w:t>
            </w:r>
            <w:r w:rsidDel="00000000" w:rsidR="00000000" w:rsidRPr="00000000">
              <w:rPr>
                <w:rtl w:val="0"/>
              </w:rPr>
            </w:r>
          </w:p>
        </w:tc>
        <w:tc>
          <w:tcPr>
            <w:vAlign w:val="top"/>
          </w:tcPr>
          <w:p w:rsidR="00000000" w:rsidDel="00000000" w:rsidP="00000000" w:rsidRDefault="00000000" w:rsidRPr="00000000" w14:paraId="00000054">
            <w:pPr>
              <w:spacing w:line="276" w:lineRule="auto"/>
              <w:ind w:right="0" w:firstLine="141"/>
              <w:jc w:val="both"/>
              <w:rPr>
                <w:i w:val="0"/>
                <w:smallCaps w:val="0"/>
                <w:strike w:val="0"/>
                <w:color w:val="000000"/>
                <w:sz w:val="24"/>
                <w:szCs w:val="24"/>
                <w:highlight w:val="white"/>
                <w:u w:val="none"/>
                <w:vertAlign w:val="baseline"/>
              </w:rPr>
            </w:pPr>
            <w:r w:rsidDel="00000000" w:rsidR="00000000" w:rsidRPr="00000000">
              <w:rPr>
                <w:sz w:val="24"/>
                <w:szCs w:val="24"/>
                <w:rtl w:val="0"/>
              </w:rPr>
              <w:t xml:space="preserve">СОД повинен забезпечити безперервність діяльності у разі втрати централізованого електропостачання (наявність приладів, що можуть забезпечити безперебійне електроживлення: генератори, джерела автономного живлення, павербанки, зарядні станції, акумулятори) протягом 1 робочого дня від моменту такої втрати</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16</w:t>
            </w:r>
            <w:r w:rsidDel="00000000" w:rsidR="00000000" w:rsidRPr="00000000">
              <w:rPr>
                <w:rtl w:val="0"/>
              </w:rPr>
            </w:r>
          </w:p>
        </w:tc>
        <w:tc>
          <w:tcPr>
            <w:vAlign w:val="top"/>
          </w:tcPr>
          <w:p w:rsidR="00000000" w:rsidDel="00000000" w:rsidP="00000000" w:rsidRDefault="00000000" w:rsidRPr="00000000" w14:paraId="00000057">
            <w:pPr>
              <w:spacing w:line="276" w:lineRule="auto"/>
              <w:ind w:right="0" w:firstLine="141"/>
              <w:jc w:val="both"/>
              <w:rPr>
                <w:sz w:val="24"/>
                <w:szCs w:val="24"/>
              </w:rPr>
            </w:pPr>
            <w:r w:rsidDel="00000000" w:rsidR="00000000" w:rsidRPr="00000000">
              <w:rPr>
                <w:sz w:val="24"/>
                <w:szCs w:val="24"/>
                <w:rtl w:val="0"/>
              </w:rPr>
              <w:t xml:space="preserve"> СОД повинен забезпечити безперервність діяльності у разі відсутності постійного доступу до засобів зв’язку та мережі інтернет (наявність супутникового інтернету/резервних лінії інтернету/ пасивні технології оптичних мереж доступу тощо).</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sz w:val="24"/>
                <w:szCs w:val="24"/>
                <w:highlight w:val="white"/>
              </w:rPr>
            </w:pP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17</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83.46456692913375" w:right="0" w:firstLine="0"/>
              <w:jc w:val="left"/>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СОД повинен мати </w:t>
            </w:r>
            <w:r w:rsidDel="00000000" w:rsidR="00000000" w:rsidRPr="00000000">
              <w:rPr>
                <w:sz w:val="24"/>
                <w:szCs w:val="24"/>
                <w:rtl w:val="0"/>
              </w:rPr>
              <w:t xml:space="preserve"> поточний рахунок у Банку</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tabs>
          <w:tab w:val="left" w:leader="none" w:pos="1276"/>
        </w:tabs>
        <w:spacing w:after="0" w:before="0" w:line="240" w:lineRule="auto"/>
        <w:ind w:left="0" w:right="0" w:firstLine="0"/>
        <w:jc w:val="left"/>
        <w:rPr>
          <w:rFonts w:ascii="Tahoma" w:cs="Tahoma" w:eastAsia="Tahoma" w:hAnsi="Tahoma"/>
          <w:b w:val="0"/>
          <w:i w:val="0"/>
          <w:smallCaps w:val="0"/>
          <w:strike w:val="0"/>
          <w:color w:val="000000"/>
          <w:sz w:val="18"/>
          <w:szCs w:val="18"/>
          <w:highlight w:val="white"/>
          <w:u w:val="none"/>
          <w:vertAlign w:val="baseline"/>
        </w:rPr>
      </w:pP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ab/>
        <w:tab/>
        <w:t xml:space="preserve">                      </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right"/>
        <w:rPr>
          <w:sz w:val="24"/>
          <w:szCs w:val="24"/>
          <w:highlight w:val="white"/>
        </w:rPr>
      </w:pPr>
      <w:r w:rsidDel="00000000" w:rsidR="00000000" w:rsidRPr="00000000">
        <w:rPr>
          <w:rtl w:val="0"/>
        </w:rPr>
      </w:r>
    </w:p>
    <w:tbl>
      <w:tblPr>
        <w:tblStyle w:val="Table2"/>
        <w:tblW w:w="10980.0" w:type="dxa"/>
        <w:jc w:val="left"/>
        <w:tblInd w:w="-555.0" w:type="dxa"/>
        <w:tblLayout w:type="fixed"/>
        <w:tblLook w:val="0600"/>
      </w:tblPr>
      <w:tblGrid>
        <w:gridCol w:w="3585"/>
        <w:gridCol w:w="7395"/>
        <w:tblGridChange w:id="0">
          <w:tblGrid>
            <w:gridCol w:w="3585"/>
            <w:gridCol w:w="7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tabs>
                <w:tab w:val="left" w:leader="none" w:pos="1276"/>
              </w:tabs>
              <w:spacing w:line="276" w:lineRule="auto"/>
              <w:rPr>
                <w:sz w:val="24"/>
                <w:szCs w:val="24"/>
                <w:highlight w:val="white"/>
              </w:rPr>
            </w:pPr>
            <w:r w:rsidDel="00000000" w:rsidR="00000000" w:rsidRPr="00000000">
              <w:rPr>
                <w:rFonts w:ascii="Tahoma" w:cs="Tahoma" w:eastAsia="Tahoma" w:hAnsi="Tahoma"/>
                <w:sz w:val="24"/>
                <w:szCs w:val="24"/>
                <w:highlight w:val="white"/>
                <w:rtl w:val="0"/>
              </w:rPr>
              <w:t xml:space="preserve">“__”  _________  20__р.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spacing w:line="276" w:lineRule="auto"/>
              <w:rPr>
                <w:sz w:val="24"/>
                <w:szCs w:val="24"/>
                <w:highlight w:val="white"/>
              </w:rPr>
            </w:pPr>
            <w:r w:rsidDel="00000000" w:rsidR="00000000" w:rsidRPr="00000000">
              <w:rPr>
                <w:sz w:val="24"/>
                <w:szCs w:val="24"/>
                <w:highlight w:val="white"/>
                <w:rtl w:val="0"/>
              </w:rPr>
              <w:t xml:space="preserve">Ознайомлений:</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hd w:fill="ffffff" w:val="clear"/>
              <w:tabs>
                <w:tab w:val="left" w:leader="none" w:pos="1276"/>
              </w:tabs>
              <w:spacing w:line="240" w:lineRule="auto"/>
              <w:jc w:val="center"/>
              <w:rPr>
                <w:sz w:val="24"/>
                <w:szCs w:val="24"/>
                <w:highlight w:val="white"/>
              </w:rPr>
            </w:pPr>
            <w:r w:rsidDel="00000000" w:rsidR="00000000" w:rsidRPr="00000000">
              <w:rPr>
                <w:rFonts w:ascii="Tahoma" w:cs="Tahoma" w:eastAsia="Tahoma" w:hAnsi="Tahoma"/>
                <w:sz w:val="18"/>
                <w:szCs w:val="18"/>
                <w:highlight w:val="white"/>
                <w:rtl w:val="0"/>
              </w:rPr>
              <w:t xml:space="preserve">_______________________________________________________________________    </w:t>
            </w:r>
            <w:r w:rsidDel="00000000" w:rsidR="00000000" w:rsidRPr="00000000">
              <w:rPr>
                <w:rFonts w:ascii="Tahoma" w:cs="Tahoma" w:eastAsia="Tahoma" w:hAnsi="Tahoma"/>
                <w:sz w:val="12"/>
                <w:szCs w:val="12"/>
                <w:highlight w:val="white"/>
                <w:rtl w:val="0"/>
              </w:rPr>
              <w:t xml:space="preserve">Посада, ПІБ</w:t>
            </w:r>
            <w:r w:rsidDel="00000000" w:rsidR="00000000" w:rsidRPr="00000000">
              <w:rPr>
                <w:rFonts w:ascii="Tahoma" w:cs="Tahoma" w:eastAsia="Tahoma" w:hAnsi="Tahoma"/>
                <w:sz w:val="18"/>
                <w:szCs w:val="18"/>
                <w:highlight w:val="white"/>
                <w:rtl w:val="0"/>
              </w:rPr>
              <w:tab/>
            </w:r>
            <w:r w:rsidDel="00000000" w:rsidR="00000000" w:rsidRPr="00000000">
              <w:rPr>
                <w:rFonts w:ascii="Tahoma" w:cs="Tahoma" w:eastAsia="Tahoma" w:hAnsi="Tahoma"/>
                <w:sz w:val="12"/>
                <w:szCs w:val="12"/>
                <w:highlight w:val="white"/>
                <w:rtl w:val="0"/>
              </w:rPr>
              <w:t xml:space="preserve">                     м.п.</w:t>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0" w:right="0" w:firstLine="0"/>
        <w:jc w:val="right"/>
        <w:rPr>
          <w:sz w:val="24"/>
          <w:szCs w:val="24"/>
          <w:highlight w:val="white"/>
        </w:rPr>
      </w:pPr>
      <w:r w:rsidDel="00000000" w:rsidR="00000000" w:rsidRPr="00000000">
        <w:rPr>
          <w:rtl w:val="0"/>
        </w:rPr>
      </w:r>
    </w:p>
    <w:sectPr>
      <w:pgSz w:h="16838" w:w="11906" w:orient="portrait"/>
      <w:pgMar w:bottom="0" w:top="566"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